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DCFCD" w14:textId="57C7043C" w:rsidR="00AA7024" w:rsidRPr="00382723" w:rsidRDefault="00C73FD0" w:rsidP="00AA7024">
      <w:pPr>
        <w:pStyle w:val="StandardWeb"/>
        <w:widowControl w:val="0"/>
        <w:spacing w:before="0" w:beforeAutospacing="0" w:after="0" w:afterAutospacing="0" w:line="360" w:lineRule="auto"/>
        <w:jc w:val="both"/>
        <w:rPr>
          <w:rFonts w:ascii="Arial" w:hAnsi="Arial" w:cs="Arial"/>
          <w:b/>
          <w:sz w:val="22"/>
          <w:szCs w:val="22"/>
        </w:rPr>
      </w:pPr>
      <w:r w:rsidRPr="00382723">
        <w:rPr>
          <w:rFonts w:ascii="Arial" w:hAnsi="Arial" w:cs="Arial"/>
          <w:b/>
          <w:sz w:val="22"/>
          <w:szCs w:val="22"/>
        </w:rPr>
        <w:t xml:space="preserve">Kundennah mit flachen Hierarchien </w:t>
      </w:r>
    </w:p>
    <w:p w14:paraId="6DA9AC0F" w14:textId="27CD5C48" w:rsidR="00AA7024" w:rsidRPr="00382723" w:rsidRDefault="003F128A" w:rsidP="00AA7024">
      <w:pPr>
        <w:pStyle w:val="StandardWeb"/>
        <w:widowControl w:val="0"/>
        <w:spacing w:before="0" w:beforeAutospacing="0" w:after="0" w:afterAutospacing="0" w:line="360" w:lineRule="auto"/>
        <w:jc w:val="both"/>
        <w:rPr>
          <w:rFonts w:ascii="Arial" w:hAnsi="Arial" w:cs="Arial"/>
          <w:sz w:val="22"/>
          <w:szCs w:val="22"/>
          <w:u w:val="single"/>
        </w:rPr>
      </w:pPr>
      <w:r w:rsidRPr="00382723">
        <w:rPr>
          <w:rFonts w:ascii="Arial" w:hAnsi="Arial" w:cs="Arial"/>
          <w:sz w:val="22"/>
          <w:szCs w:val="22"/>
          <w:u w:val="single"/>
        </w:rPr>
        <w:t xml:space="preserve">Strukturwandel in der </w:t>
      </w:r>
      <w:r w:rsidR="00C73FD0" w:rsidRPr="00382723">
        <w:rPr>
          <w:rFonts w:ascii="Arial" w:hAnsi="Arial" w:cs="Arial"/>
          <w:sz w:val="22"/>
          <w:szCs w:val="22"/>
          <w:u w:val="single"/>
        </w:rPr>
        <w:t xml:space="preserve">H+H </w:t>
      </w:r>
      <w:r w:rsidR="00371D2A" w:rsidRPr="00382723">
        <w:rPr>
          <w:rFonts w:ascii="Arial" w:hAnsi="Arial" w:cs="Arial"/>
          <w:sz w:val="22"/>
          <w:szCs w:val="22"/>
          <w:u w:val="single"/>
        </w:rPr>
        <w:t>Vertriebsleitung</w:t>
      </w:r>
    </w:p>
    <w:p w14:paraId="213AAB52" w14:textId="77777777" w:rsidR="00AA7024" w:rsidRPr="00382723" w:rsidRDefault="00AA7024" w:rsidP="00AA7024">
      <w:pPr>
        <w:pStyle w:val="StandardWeb"/>
        <w:widowControl w:val="0"/>
        <w:spacing w:before="0" w:beforeAutospacing="0" w:after="0" w:afterAutospacing="0" w:line="360" w:lineRule="auto"/>
        <w:jc w:val="both"/>
        <w:rPr>
          <w:rFonts w:ascii="Arial" w:hAnsi="Arial" w:cs="Arial"/>
          <w:sz w:val="22"/>
          <w:szCs w:val="22"/>
          <w:u w:val="single"/>
        </w:rPr>
      </w:pPr>
    </w:p>
    <w:p w14:paraId="036CA54A" w14:textId="7211F872" w:rsidR="00F902C1" w:rsidRPr="00382723" w:rsidRDefault="00AA7024" w:rsidP="00701828">
      <w:pPr>
        <w:pStyle w:val="StandardWeb"/>
        <w:widowControl w:val="0"/>
        <w:spacing w:before="0" w:beforeAutospacing="0" w:after="0" w:afterAutospacing="0" w:line="360" w:lineRule="auto"/>
        <w:rPr>
          <w:rFonts w:ascii="Arial" w:hAnsi="Arial" w:cs="Arial"/>
          <w:b/>
          <w:sz w:val="22"/>
          <w:szCs w:val="22"/>
        </w:rPr>
      </w:pPr>
      <w:r w:rsidRPr="00382723">
        <w:rPr>
          <w:rFonts w:ascii="Arial" w:hAnsi="Arial" w:cs="Arial"/>
          <w:b/>
          <w:sz w:val="22"/>
          <w:szCs w:val="22"/>
        </w:rPr>
        <w:t>Wittenborn</w:t>
      </w:r>
      <w:r w:rsidR="00701828">
        <w:rPr>
          <w:rFonts w:ascii="Arial" w:hAnsi="Arial" w:cs="Arial"/>
          <w:b/>
          <w:sz w:val="22"/>
          <w:szCs w:val="22"/>
        </w:rPr>
        <w:t>, den 02.12.2019</w:t>
      </w:r>
      <w:r w:rsidRPr="00382723">
        <w:rPr>
          <w:rFonts w:ascii="Arial" w:hAnsi="Arial" w:cs="Arial"/>
          <w:b/>
          <w:sz w:val="22"/>
          <w:szCs w:val="22"/>
        </w:rPr>
        <w:t xml:space="preserve"> – </w:t>
      </w:r>
      <w:r w:rsidR="003F128A" w:rsidRPr="00382723">
        <w:rPr>
          <w:rFonts w:ascii="Arial" w:hAnsi="Arial" w:cs="Arial"/>
          <w:b/>
          <w:sz w:val="22"/>
          <w:szCs w:val="22"/>
        </w:rPr>
        <w:t>In das Geschäftsjahr 2020</w:t>
      </w:r>
      <w:r w:rsidR="00C73FD0" w:rsidRPr="00382723">
        <w:rPr>
          <w:rFonts w:ascii="Arial" w:hAnsi="Arial" w:cs="Arial"/>
          <w:b/>
          <w:sz w:val="22"/>
          <w:szCs w:val="22"/>
        </w:rPr>
        <w:t xml:space="preserve"> startet H+H mit neue</w:t>
      </w:r>
      <w:r w:rsidR="004C36FB" w:rsidRPr="00382723">
        <w:rPr>
          <w:rFonts w:ascii="Arial" w:hAnsi="Arial" w:cs="Arial"/>
          <w:b/>
          <w:sz w:val="22"/>
          <w:szCs w:val="22"/>
        </w:rPr>
        <w:t>r</w:t>
      </w:r>
      <w:r w:rsidR="00C73FD0" w:rsidRPr="00382723">
        <w:rPr>
          <w:rFonts w:ascii="Arial" w:hAnsi="Arial" w:cs="Arial"/>
          <w:b/>
          <w:sz w:val="22"/>
          <w:szCs w:val="22"/>
        </w:rPr>
        <w:t xml:space="preserve"> </w:t>
      </w:r>
      <w:r w:rsidR="00371D2A" w:rsidRPr="00382723">
        <w:rPr>
          <w:rFonts w:ascii="Arial" w:hAnsi="Arial" w:cs="Arial"/>
          <w:b/>
          <w:sz w:val="22"/>
          <w:szCs w:val="22"/>
        </w:rPr>
        <w:t>Leitungsstruktur</w:t>
      </w:r>
      <w:r w:rsidR="003F128A" w:rsidRPr="00382723">
        <w:rPr>
          <w:rFonts w:ascii="Arial" w:hAnsi="Arial" w:cs="Arial"/>
          <w:b/>
          <w:sz w:val="22"/>
          <w:szCs w:val="22"/>
        </w:rPr>
        <w:t xml:space="preserve"> im Vertrieb</w:t>
      </w:r>
      <w:r w:rsidR="008C0950" w:rsidRPr="00382723">
        <w:rPr>
          <w:rFonts w:ascii="Arial" w:hAnsi="Arial" w:cs="Arial"/>
          <w:b/>
          <w:sz w:val="22"/>
          <w:szCs w:val="22"/>
        </w:rPr>
        <w:t>.</w:t>
      </w:r>
      <w:r w:rsidR="008863C2" w:rsidRPr="00382723">
        <w:rPr>
          <w:rFonts w:ascii="Arial" w:hAnsi="Arial" w:cs="Arial"/>
          <w:b/>
          <w:sz w:val="22"/>
          <w:szCs w:val="22"/>
        </w:rPr>
        <w:t xml:space="preserve"> </w:t>
      </w:r>
      <w:r w:rsidR="00C73FD0" w:rsidRPr="00382723">
        <w:rPr>
          <w:rFonts w:ascii="Arial" w:hAnsi="Arial" w:cs="Arial"/>
          <w:b/>
          <w:sz w:val="22"/>
          <w:szCs w:val="22"/>
        </w:rPr>
        <w:t>Markus Bl</w:t>
      </w:r>
      <w:r w:rsidR="008863C2" w:rsidRPr="00382723">
        <w:rPr>
          <w:rFonts w:ascii="Arial" w:hAnsi="Arial" w:cs="Arial"/>
          <w:b/>
          <w:sz w:val="22"/>
          <w:szCs w:val="22"/>
        </w:rPr>
        <w:t>um, Vorsitzender der Geschäftsführung,</w:t>
      </w:r>
      <w:r w:rsidR="00C73FD0" w:rsidRPr="00382723">
        <w:rPr>
          <w:rFonts w:ascii="Arial" w:hAnsi="Arial" w:cs="Arial"/>
          <w:b/>
          <w:sz w:val="22"/>
          <w:szCs w:val="22"/>
        </w:rPr>
        <w:t xml:space="preserve"> führt </w:t>
      </w:r>
      <w:r w:rsidR="00BB5709" w:rsidRPr="00382723">
        <w:rPr>
          <w:rFonts w:ascii="Arial" w:hAnsi="Arial" w:cs="Arial"/>
          <w:b/>
          <w:sz w:val="22"/>
          <w:szCs w:val="22"/>
        </w:rPr>
        <w:t xml:space="preserve">dann </w:t>
      </w:r>
      <w:r w:rsidR="00C73FD0" w:rsidRPr="00382723">
        <w:rPr>
          <w:rFonts w:ascii="Arial" w:hAnsi="Arial" w:cs="Arial"/>
          <w:b/>
          <w:sz w:val="22"/>
          <w:szCs w:val="22"/>
        </w:rPr>
        <w:t xml:space="preserve">direkt die vier </w:t>
      </w:r>
      <w:r w:rsidR="00371D2A" w:rsidRPr="00382723">
        <w:rPr>
          <w:rFonts w:ascii="Arial" w:hAnsi="Arial" w:cs="Arial"/>
          <w:b/>
          <w:sz w:val="22"/>
          <w:szCs w:val="22"/>
        </w:rPr>
        <w:t xml:space="preserve">regionalen Vertriebsleiter </w:t>
      </w:r>
      <w:r w:rsidR="00C73FD0" w:rsidRPr="00382723">
        <w:rPr>
          <w:rFonts w:ascii="Arial" w:hAnsi="Arial" w:cs="Arial"/>
          <w:b/>
          <w:sz w:val="22"/>
          <w:szCs w:val="22"/>
        </w:rPr>
        <w:t xml:space="preserve">Thomas Manthe (Nord), </w:t>
      </w:r>
      <w:r w:rsidR="00371D2A" w:rsidRPr="00382723">
        <w:rPr>
          <w:rFonts w:ascii="Arial" w:hAnsi="Arial" w:cs="Arial"/>
          <w:b/>
          <w:sz w:val="22"/>
          <w:szCs w:val="22"/>
        </w:rPr>
        <w:t>Siegfried Bähr</w:t>
      </w:r>
      <w:r w:rsidR="00C73FD0" w:rsidRPr="00382723">
        <w:rPr>
          <w:rFonts w:ascii="Arial" w:hAnsi="Arial" w:cs="Arial"/>
          <w:b/>
          <w:sz w:val="22"/>
          <w:szCs w:val="22"/>
        </w:rPr>
        <w:t xml:space="preserve"> (Süd), Frank Lehe (Ost) und Dirk Drewer (West). </w:t>
      </w:r>
      <w:r w:rsidR="00371D2A" w:rsidRPr="00382723">
        <w:rPr>
          <w:rFonts w:ascii="Arial" w:hAnsi="Arial" w:cs="Arial"/>
          <w:b/>
          <w:sz w:val="22"/>
          <w:szCs w:val="22"/>
        </w:rPr>
        <w:t xml:space="preserve">Flache Hierarchien und schlanke Strukturen </w:t>
      </w:r>
      <w:r w:rsidR="00C73FD0" w:rsidRPr="00382723">
        <w:rPr>
          <w:rFonts w:ascii="Arial" w:hAnsi="Arial" w:cs="Arial"/>
          <w:b/>
          <w:sz w:val="22"/>
          <w:szCs w:val="22"/>
        </w:rPr>
        <w:t xml:space="preserve">sollen </w:t>
      </w:r>
      <w:r w:rsidR="00371D2A" w:rsidRPr="00382723">
        <w:rPr>
          <w:rFonts w:ascii="Arial" w:hAnsi="Arial" w:cs="Arial"/>
          <w:b/>
          <w:sz w:val="22"/>
          <w:szCs w:val="22"/>
        </w:rPr>
        <w:t>für kurze Wege und schnelle</w:t>
      </w:r>
      <w:r w:rsidR="003F128A" w:rsidRPr="00382723">
        <w:rPr>
          <w:rFonts w:ascii="Arial" w:hAnsi="Arial" w:cs="Arial"/>
          <w:b/>
          <w:sz w:val="22"/>
          <w:szCs w:val="22"/>
        </w:rPr>
        <w:t>,</w:t>
      </w:r>
      <w:r w:rsidR="00371D2A" w:rsidRPr="00382723">
        <w:rPr>
          <w:rFonts w:ascii="Arial" w:hAnsi="Arial" w:cs="Arial"/>
          <w:b/>
          <w:sz w:val="22"/>
          <w:szCs w:val="22"/>
        </w:rPr>
        <w:t xml:space="preserve"> kundenorientierte Entscheidungen sorgen</w:t>
      </w:r>
      <w:r w:rsidR="00BB5709" w:rsidRPr="00382723">
        <w:rPr>
          <w:rFonts w:ascii="Arial" w:hAnsi="Arial" w:cs="Arial"/>
          <w:b/>
          <w:sz w:val="22"/>
          <w:szCs w:val="22"/>
        </w:rPr>
        <w:t>.</w:t>
      </w:r>
    </w:p>
    <w:p w14:paraId="7B582FE9" w14:textId="77777777" w:rsidR="00F902C1" w:rsidRPr="00382723" w:rsidRDefault="00F902C1" w:rsidP="00701828">
      <w:pPr>
        <w:pStyle w:val="StandardWeb"/>
        <w:widowControl w:val="0"/>
        <w:spacing w:before="0" w:beforeAutospacing="0" w:after="0" w:afterAutospacing="0" w:line="360" w:lineRule="auto"/>
        <w:rPr>
          <w:rFonts w:ascii="Arial" w:hAnsi="Arial" w:cs="Arial"/>
          <w:b/>
          <w:sz w:val="22"/>
          <w:szCs w:val="22"/>
        </w:rPr>
      </w:pPr>
    </w:p>
    <w:p w14:paraId="20F14C0F" w14:textId="0B22F030" w:rsidR="00D0394C" w:rsidRPr="00382723" w:rsidRDefault="00BB5709" w:rsidP="00701828">
      <w:pPr>
        <w:pStyle w:val="StandardWeb"/>
        <w:widowControl w:val="0"/>
        <w:spacing w:before="0" w:beforeAutospacing="0" w:after="0" w:afterAutospacing="0" w:line="360" w:lineRule="auto"/>
        <w:rPr>
          <w:rFonts w:ascii="Arial" w:hAnsi="Arial" w:cs="Arial"/>
          <w:bCs/>
          <w:sz w:val="22"/>
          <w:szCs w:val="22"/>
        </w:rPr>
      </w:pPr>
      <w:r w:rsidRPr="00382723">
        <w:rPr>
          <w:rFonts w:ascii="Arial" w:hAnsi="Arial" w:cs="Arial"/>
          <w:bCs/>
          <w:sz w:val="22"/>
          <w:szCs w:val="22"/>
        </w:rPr>
        <w:t xml:space="preserve">Vertriebsleiter Tilo Hahn verlässt zum 31.12.2019 auf eigenen Wunsch das Unternehmen. Er stellt sich einer neuen beruflichen Herausforderung, bleibt aber der Baubranche treu, wie er erklärt. Markus Blum dankte </w:t>
      </w:r>
      <w:r w:rsidR="004C36FB" w:rsidRPr="00382723">
        <w:rPr>
          <w:rFonts w:ascii="Arial" w:hAnsi="Arial" w:cs="Arial"/>
          <w:bCs/>
          <w:sz w:val="22"/>
          <w:szCs w:val="22"/>
        </w:rPr>
        <w:t xml:space="preserve">ihm im Rahmen der </w:t>
      </w:r>
      <w:r w:rsidR="003F128A" w:rsidRPr="00382723">
        <w:rPr>
          <w:rFonts w:ascii="Arial" w:hAnsi="Arial" w:cs="Arial"/>
          <w:bCs/>
          <w:sz w:val="22"/>
          <w:szCs w:val="22"/>
        </w:rPr>
        <w:t xml:space="preserve">H+H </w:t>
      </w:r>
      <w:r w:rsidR="004C36FB" w:rsidRPr="00382723">
        <w:rPr>
          <w:rFonts w:ascii="Arial" w:hAnsi="Arial" w:cs="Arial"/>
          <w:bCs/>
          <w:sz w:val="22"/>
          <w:szCs w:val="22"/>
        </w:rPr>
        <w:t>Vertriebstagung am 29. November</w:t>
      </w:r>
      <w:r w:rsidRPr="00382723">
        <w:rPr>
          <w:rFonts w:ascii="Arial" w:hAnsi="Arial" w:cs="Arial"/>
          <w:bCs/>
          <w:sz w:val="22"/>
          <w:szCs w:val="22"/>
        </w:rPr>
        <w:t xml:space="preserve"> für sein Engagement</w:t>
      </w:r>
      <w:r w:rsidR="004C36FB" w:rsidRPr="00382723">
        <w:rPr>
          <w:rFonts w:ascii="Arial" w:hAnsi="Arial" w:cs="Arial"/>
          <w:bCs/>
          <w:sz w:val="22"/>
          <w:szCs w:val="22"/>
        </w:rPr>
        <w:t>.</w:t>
      </w:r>
      <w:r w:rsidR="00A77EAD" w:rsidRPr="00382723">
        <w:t xml:space="preserve"> </w:t>
      </w:r>
      <w:r w:rsidR="00A77EAD" w:rsidRPr="00382723">
        <w:rPr>
          <w:rFonts w:ascii="Arial" w:hAnsi="Arial" w:cs="Arial"/>
          <w:bCs/>
          <w:sz w:val="22"/>
          <w:szCs w:val="22"/>
        </w:rPr>
        <w:t>Seit 2009 hat</w:t>
      </w:r>
      <w:r w:rsidR="003F128A" w:rsidRPr="00382723">
        <w:rPr>
          <w:rFonts w:ascii="Arial" w:hAnsi="Arial" w:cs="Arial"/>
          <w:bCs/>
          <w:sz w:val="22"/>
          <w:szCs w:val="22"/>
        </w:rPr>
        <w:t>te</w:t>
      </w:r>
      <w:r w:rsidR="00A77EAD" w:rsidRPr="00382723">
        <w:rPr>
          <w:rFonts w:ascii="Arial" w:hAnsi="Arial" w:cs="Arial"/>
          <w:bCs/>
          <w:sz w:val="22"/>
          <w:szCs w:val="22"/>
        </w:rPr>
        <w:t xml:space="preserve"> </w:t>
      </w:r>
      <w:r w:rsidR="003F128A" w:rsidRPr="00382723">
        <w:rPr>
          <w:rFonts w:ascii="Arial" w:hAnsi="Arial" w:cs="Arial"/>
          <w:bCs/>
          <w:sz w:val="22"/>
          <w:szCs w:val="22"/>
        </w:rPr>
        <w:t>Hahn</w:t>
      </w:r>
      <w:r w:rsidR="00A77EAD" w:rsidRPr="00382723">
        <w:rPr>
          <w:rFonts w:ascii="Arial" w:hAnsi="Arial" w:cs="Arial"/>
          <w:bCs/>
          <w:sz w:val="22"/>
          <w:szCs w:val="22"/>
        </w:rPr>
        <w:t xml:space="preserve"> in der Kalksandsteinorganisation wesentlich zum Erfolg der Sparte in Deutschland und Tschechien beigetragen.</w:t>
      </w:r>
      <w:r w:rsidR="004C36FB" w:rsidRPr="00382723">
        <w:rPr>
          <w:rFonts w:ascii="Arial" w:hAnsi="Arial" w:cs="Arial"/>
          <w:bCs/>
          <w:sz w:val="22"/>
          <w:szCs w:val="22"/>
        </w:rPr>
        <w:t xml:space="preserve"> Speziell</w:t>
      </w:r>
      <w:r w:rsidRPr="00382723">
        <w:rPr>
          <w:rFonts w:ascii="Arial" w:hAnsi="Arial" w:cs="Arial"/>
          <w:bCs/>
          <w:sz w:val="22"/>
          <w:szCs w:val="22"/>
        </w:rPr>
        <w:t xml:space="preserve"> </w:t>
      </w:r>
      <w:r w:rsidR="003F128A" w:rsidRPr="00382723">
        <w:rPr>
          <w:rFonts w:ascii="Arial" w:hAnsi="Arial" w:cs="Arial"/>
          <w:bCs/>
          <w:sz w:val="22"/>
          <w:szCs w:val="22"/>
        </w:rPr>
        <w:t>während</w:t>
      </w:r>
      <w:r w:rsidR="004C36FB" w:rsidRPr="00382723">
        <w:rPr>
          <w:rFonts w:ascii="Arial" w:hAnsi="Arial" w:cs="Arial"/>
          <w:bCs/>
          <w:sz w:val="22"/>
          <w:szCs w:val="22"/>
        </w:rPr>
        <w:t xml:space="preserve"> der</w:t>
      </w:r>
      <w:r w:rsidRPr="00382723">
        <w:rPr>
          <w:rFonts w:ascii="Arial" w:hAnsi="Arial" w:cs="Arial"/>
          <w:bCs/>
          <w:sz w:val="22"/>
          <w:szCs w:val="22"/>
        </w:rPr>
        <w:t xml:space="preserve"> Zusammenführung der beiden Vertriebsorganisationen für Porenbeton und Kalksandstein </w:t>
      </w:r>
      <w:r w:rsidR="003F128A" w:rsidRPr="00382723">
        <w:rPr>
          <w:rFonts w:ascii="Arial" w:hAnsi="Arial" w:cs="Arial"/>
          <w:bCs/>
          <w:sz w:val="22"/>
          <w:szCs w:val="22"/>
        </w:rPr>
        <w:t>2018 und 2019</w:t>
      </w:r>
      <w:r w:rsidR="004C36FB" w:rsidRPr="00382723">
        <w:rPr>
          <w:rFonts w:ascii="Arial" w:hAnsi="Arial" w:cs="Arial"/>
          <w:bCs/>
          <w:sz w:val="22"/>
          <w:szCs w:val="22"/>
        </w:rPr>
        <w:t xml:space="preserve"> habe er </w:t>
      </w:r>
      <w:r w:rsidR="00A77EAD" w:rsidRPr="00382723">
        <w:rPr>
          <w:rFonts w:ascii="Arial" w:hAnsi="Arial" w:cs="Arial"/>
          <w:bCs/>
          <w:sz w:val="22"/>
          <w:szCs w:val="22"/>
        </w:rPr>
        <w:t xml:space="preserve">zudem </w:t>
      </w:r>
      <w:r w:rsidR="004C36FB" w:rsidRPr="00382723">
        <w:rPr>
          <w:rFonts w:ascii="Arial" w:hAnsi="Arial" w:cs="Arial"/>
          <w:bCs/>
          <w:sz w:val="22"/>
          <w:szCs w:val="22"/>
        </w:rPr>
        <w:t>nachhaltige Akzente gesetzt.</w:t>
      </w:r>
    </w:p>
    <w:p w14:paraId="142AC434" w14:textId="228B7F61" w:rsidR="00430E4D" w:rsidRPr="00382723" w:rsidRDefault="00430E4D" w:rsidP="00701828">
      <w:pPr>
        <w:widowControl/>
        <w:rPr>
          <w:rFonts w:cs="Arial"/>
          <w:sz w:val="22"/>
        </w:rPr>
      </w:pPr>
    </w:p>
    <w:p w14:paraId="7D8427F0" w14:textId="77777777" w:rsidR="00461D9A" w:rsidRPr="00382723" w:rsidRDefault="00461D9A" w:rsidP="00701828">
      <w:pPr>
        <w:spacing w:line="360" w:lineRule="auto"/>
        <w:rPr>
          <w:rFonts w:cs="Arial"/>
          <w:noProof/>
          <w:sz w:val="22"/>
          <w:lang w:eastAsia="de-DE"/>
        </w:rPr>
      </w:pPr>
    </w:p>
    <w:p w14:paraId="0FB8AF9A" w14:textId="77777777" w:rsidR="00382723" w:rsidRDefault="00382723" w:rsidP="00701828">
      <w:pPr>
        <w:pStyle w:val="StandardWeb"/>
        <w:widowControl w:val="0"/>
        <w:spacing w:before="0" w:beforeAutospacing="0" w:after="0" w:afterAutospacing="0" w:line="360" w:lineRule="auto"/>
        <w:rPr>
          <w:rFonts w:ascii="Arial" w:hAnsi="Arial" w:cs="Arial"/>
          <w:b/>
          <w:sz w:val="22"/>
          <w:szCs w:val="22"/>
        </w:rPr>
      </w:pPr>
    </w:p>
    <w:p w14:paraId="3B356702" w14:textId="77777777" w:rsidR="00382723" w:rsidRDefault="00382723" w:rsidP="00701828">
      <w:pPr>
        <w:pStyle w:val="StandardWeb"/>
        <w:widowControl w:val="0"/>
        <w:spacing w:before="0" w:beforeAutospacing="0" w:after="0" w:afterAutospacing="0" w:line="360" w:lineRule="auto"/>
        <w:rPr>
          <w:rFonts w:ascii="Arial" w:hAnsi="Arial" w:cs="Arial"/>
          <w:b/>
          <w:sz w:val="22"/>
          <w:szCs w:val="22"/>
        </w:rPr>
      </w:pPr>
    </w:p>
    <w:p w14:paraId="711066DA" w14:textId="77777777" w:rsidR="00A61355" w:rsidRDefault="00A61355" w:rsidP="00701828">
      <w:pPr>
        <w:pStyle w:val="StandardWeb"/>
        <w:widowControl w:val="0"/>
        <w:spacing w:before="0" w:beforeAutospacing="0" w:after="0" w:afterAutospacing="0" w:line="360" w:lineRule="auto"/>
        <w:rPr>
          <w:rFonts w:ascii="Arial" w:hAnsi="Arial" w:cs="Arial"/>
          <w:b/>
          <w:sz w:val="22"/>
          <w:szCs w:val="22"/>
        </w:rPr>
      </w:pPr>
    </w:p>
    <w:p w14:paraId="1D46BFEB" w14:textId="77777777" w:rsidR="00A61355" w:rsidRDefault="00A61355" w:rsidP="00AA7024">
      <w:pPr>
        <w:pStyle w:val="StandardWeb"/>
        <w:widowControl w:val="0"/>
        <w:spacing w:before="0" w:beforeAutospacing="0" w:after="0" w:afterAutospacing="0" w:line="360" w:lineRule="auto"/>
        <w:jc w:val="both"/>
        <w:rPr>
          <w:rFonts w:ascii="Arial" w:hAnsi="Arial" w:cs="Arial"/>
          <w:b/>
          <w:sz w:val="22"/>
          <w:szCs w:val="22"/>
        </w:rPr>
      </w:pPr>
    </w:p>
    <w:p w14:paraId="3E3D64A0" w14:textId="77777777" w:rsidR="00A61355" w:rsidRDefault="00A61355" w:rsidP="00AA7024">
      <w:pPr>
        <w:pStyle w:val="StandardWeb"/>
        <w:widowControl w:val="0"/>
        <w:spacing w:before="0" w:beforeAutospacing="0" w:after="0" w:afterAutospacing="0" w:line="360" w:lineRule="auto"/>
        <w:jc w:val="both"/>
        <w:rPr>
          <w:rFonts w:ascii="Arial" w:hAnsi="Arial" w:cs="Arial"/>
          <w:b/>
          <w:sz w:val="22"/>
          <w:szCs w:val="22"/>
        </w:rPr>
      </w:pPr>
    </w:p>
    <w:p w14:paraId="544A2830" w14:textId="77777777" w:rsidR="00A61355" w:rsidRDefault="00A61355" w:rsidP="00AA7024">
      <w:pPr>
        <w:pStyle w:val="StandardWeb"/>
        <w:widowControl w:val="0"/>
        <w:spacing w:before="0" w:beforeAutospacing="0" w:after="0" w:afterAutospacing="0" w:line="360" w:lineRule="auto"/>
        <w:jc w:val="both"/>
        <w:rPr>
          <w:rFonts w:ascii="Arial" w:hAnsi="Arial" w:cs="Arial"/>
          <w:b/>
          <w:sz w:val="22"/>
          <w:szCs w:val="22"/>
        </w:rPr>
      </w:pPr>
    </w:p>
    <w:p w14:paraId="3BF4A004" w14:textId="77777777" w:rsidR="00A61355" w:rsidRDefault="00A61355" w:rsidP="00AA7024">
      <w:pPr>
        <w:pStyle w:val="StandardWeb"/>
        <w:widowControl w:val="0"/>
        <w:spacing w:before="0" w:beforeAutospacing="0" w:after="0" w:afterAutospacing="0" w:line="360" w:lineRule="auto"/>
        <w:jc w:val="both"/>
        <w:rPr>
          <w:rFonts w:ascii="Arial" w:hAnsi="Arial" w:cs="Arial"/>
          <w:b/>
          <w:sz w:val="22"/>
          <w:szCs w:val="22"/>
        </w:rPr>
      </w:pPr>
    </w:p>
    <w:p w14:paraId="6E530291" w14:textId="61C3456C" w:rsidR="004C36FB" w:rsidRPr="00382723" w:rsidRDefault="0044172B" w:rsidP="00AA7024">
      <w:pPr>
        <w:pStyle w:val="StandardWeb"/>
        <w:widowControl w:val="0"/>
        <w:spacing w:before="0" w:beforeAutospacing="0" w:after="0" w:afterAutospacing="0" w:line="360" w:lineRule="auto"/>
        <w:jc w:val="both"/>
        <w:rPr>
          <w:rFonts w:ascii="Arial" w:hAnsi="Arial" w:cs="Arial"/>
          <w:b/>
          <w:sz w:val="22"/>
          <w:szCs w:val="22"/>
        </w:rPr>
      </w:pPr>
      <w:r>
        <w:rPr>
          <w:rFonts w:ascii="Arial" w:hAnsi="Arial" w:cs="Arial"/>
          <w:b/>
          <w:sz w:val="22"/>
          <w:szCs w:val="22"/>
        </w:rPr>
        <w:lastRenderedPageBreak/>
        <w:pict w14:anchorId="50112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75pt;height:153.65pt">
            <v:imagedata r:id="rId11" o:title="H+H_Gruppe_Vertrieb-k"/>
          </v:shape>
        </w:pict>
      </w:r>
    </w:p>
    <w:p w14:paraId="71B108A5" w14:textId="428CB0AB" w:rsidR="00DA5127" w:rsidRPr="00DA5127" w:rsidRDefault="004C36FB" w:rsidP="00DA5127">
      <w:pPr>
        <w:spacing w:line="360" w:lineRule="auto"/>
        <w:rPr>
          <w:rFonts w:eastAsia="Times New Roman" w:cs="Arial"/>
          <w:bCs/>
          <w:sz w:val="22"/>
          <w:lang w:eastAsia="de-DE"/>
        </w:rPr>
      </w:pPr>
      <w:r w:rsidRPr="00DA5127">
        <w:rPr>
          <w:rFonts w:eastAsia="Times New Roman" w:cs="Arial"/>
          <w:bCs/>
          <w:sz w:val="22"/>
          <w:lang w:eastAsia="de-DE"/>
        </w:rPr>
        <w:t>Vo</w:t>
      </w:r>
      <w:r w:rsidR="00DA5127" w:rsidRPr="00DA5127">
        <w:rPr>
          <w:rFonts w:eastAsia="Times New Roman" w:cs="Arial"/>
          <w:bCs/>
          <w:sz w:val="22"/>
          <w:lang w:eastAsia="de-DE"/>
        </w:rPr>
        <w:t>n links nach rechts im Bild: Siegfried Bähr, Dirk Drewer, Frank Lehe, Markus Blum, Thomas Manthe</w:t>
      </w:r>
    </w:p>
    <w:p w14:paraId="4B6A0091" w14:textId="5E81A31A" w:rsidR="00AA7024" w:rsidRPr="00382723" w:rsidRDefault="00AA7024" w:rsidP="00DA5127">
      <w:pPr>
        <w:pStyle w:val="StandardWeb"/>
        <w:widowControl w:val="0"/>
        <w:spacing w:before="0" w:beforeAutospacing="0" w:after="0" w:afterAutospacing="0" w:line="360" w:lineRule="auto"/>
        <w:jc w:val="both"/>
        <w:rPr>
          <w:rFonts w:ascii="Arial" w:hAnsi="Arial" w:cs="Arial"/>
          <w:bCs/>
          <w:sz w:val="22"/>
          <w:szCs w:val="22"/>
        </w:rPr>
      </w:pPr>
    </w:p>
    <w:p w14:paraId="0F39A023" w14:textId="51DFBF3F" w:rsidR="0072773D" w:rsidRDefault="0070270C" w:rsidP="00162DE2">
      <w:pPr>
        <w:widowControl/>
        <w:outlineLvl w:val="0"/>
        <w:rPr>
          <w:rFonts w:cs="Arial"/>
          <w:i/>
          <w:sz w:val="18"/>
          <w:szCs w:val="18"/>
        </w:rPr>
      </w:pPr>
      <w:r w:rsidRPr="00382723">
        <w:rPr>
          <w:rFonts w:cs="Arial"/>
          <w:i/>
          <w:sz w:val="18"/>
          <w:szCs w:val="18"/>
        </w:rPr>
        <w:t>Foto: H+H Deutschland GmbH</w:t>
      </w:r>
      <w:bookmarkStart w:id="0" w:name="_GoBack"/>
      <w:bookmarkEnd w:id="0"/>
    </w:p>
    <w:p w14:paraId="7952EC08" w14:textId="77777777" w:rsidR="00A61355" w:rsidRDefault="00A61355" w:rsidP="00162DE2">
      <w:pPr>
        <w:widowControl/>
        <w:outlineLvl w:val="0"/>
        <w:rPr>
          <w:rFonts w:cs="Arial"/>
          <w:i/>
          <w:sz w:val="18"/>
          <w:szCs w:val="18"/>
        </w:rPr>
      </w:pPr>
    </w:p>
    <w:p w14:paraId="36752DFE" w14:textId="77777777" w:rsidR="00701828" w:rsidRDefault="00701828" w:rsidP="00162DE2">
      <w:pPr>
        <w:widowControl/>
        <w:outlineLvl w:val="0"/>
        <w:rPr>
          <w:rFonts w:cs="Arial"/>
          <w:i/>
          <w:sz w:val="18"/>
          <w:szCs w:val="18"/>
        </w:rPr>
      </w:pPr>
    </w:p>
    <w:p w14:paraId="4872376C" w14:textId="77777777" w:rsidR="00701828" w:rsidRDefault="00701828" w:rsidP="00162DE2">
      <w:pPr>
        <w:widowControl/>
        <w:outlineLvl w:val="0"/>
        <w:rPr>
          <w:rFonts w:cs="Arial"/>
          <w:i/>
          <w:sz w:val="18"/>
          <w:szCs w:val="18"/>
        </w:rPr>
      </w:pPr>
    </w:p>
    <w:p w14:paraId="7D35D674" w14:textId="77777777" w:rsidR="00A61355" w:rsidRPr="00382723" w:rsidRDefault="00A61355" w:rsidP="00162DE2">
      <w:pPr>
        <w:widowControl/>
        <w:outlineLvl w:val="0"/>
        <w:rPr>
          <w:rFonts w:cs="Arial"/>
          <w:i/>
          <w:sz w:val="18"/>
          <w:szCs w:val="18"/>
        </w:rPr>
      </w:pPr>
    </w:p>
    <w:p w14:paraId="30C119FC" w14:textId="42002948" w:rsidR="0072773D" w:rsidRDefault="00382723" w:rsidP="0072773D">
      <w:pPr>
        <w:widowControl/>
        <w:rPr>
          <w:rFonts w:cs="Arial"/>
          <w:i/>
          <w:sz w:val="18"/>
          <w:szCs w:val="18"/>
        </w:rPr>
      </w:pPr>
      <w:r w:rsidRPr="00382723">
        <w:rPr>
          <w:rFonts w:cs="Arial"/>
          <w:noProof/>
          <w:sz w:val="22"/>
          <w:lang w:eastAsia="de-DE"/>
        </w:rPr>
        <mc:AlternateContent>
          <mc:Choice Requires="wps">
            <w:drawing>
              <wp:inline distT="0" distB="0" distL="0" distR="0" wp14:anchorId="1B3C74D8" wp14:editId="483C719F">
                <wp:extent cx="4135755" cy="2137410"/>
                <wp:effectExtent l="0" t="0" r="17145" b="15240"/>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137410"/>
                        </a:xfrm>
                        <a:prstGeom prst="rect">
                          <a:avLst/>
                        </a:prstGeom>
                        <a:solidFill>
                          <a:srgbClr val="FFFFFF"/>
                        </a:solidFill>
                        <a:ln w="9525">
                          <a:solidFill>
                            <a:srgbClr val="000000"/>
                          </a:solidFill>
                          <a:miter lim="800000"/>
                          <a:headEnd/>
                          <a:tailEnd/>
                        </a:ln>
                      </wps:spPr>
                      <wps:txbx>
                        <w:txbxContent>
                          <w:p w14:paraId="5CA27032" w14:textId="77777777" w:rsidR="00382723" w:rsidRPr="00382723" w:rsidRDefault="00382723" w:rsidP="00382723">
                            <w:pPr>
                              <w:jc w:val="both"/>
                              <w:rPr>
                                <w:rFonts w:cs="Arial"/>
                                <w:sz w:val="18"/>
                                <w:szCs w:val="18"/>
                              </w:rPr>
                            </w:pPr>
                            <w:r w:rsidRPr="00382723">
                              <w:rPr>
                                <w:rFonts w:cs="Arial"/>
                                <w:b/>
                                <w:bCs/>
                                <w:sz w:val="18"/>
                                <w:szCs w:val="18"/>
                                <w:lang w:eastAsia="ja-JP"/>
                              </w:rPr>
                              <w:t>H+H International A/S</w:t>
                            </w:r>
                            <w:r w:rsidRPr="00382723">
                              <w:rPr>
                                <w:rFonts w:cs="Arial"/>
                                <w:sz w:val="18"/>
                                <w:szCs w:val="18"/>
                                <w:lang w:eastAsia="ja-JP"/>
                              </w:rPr>
                              <w:t xml:space="preserve"> ist ein an der dänischen Börse notiertes Unternehmen mit Hauptsitz in </w:t>
                            </w:r>
                            <w:hyperlink r:id="rId12" w:history="1">
                              <w:r w:rsidRPr="00382723">
                                <w:rPr>
                                  <w:rFonts w:cs="Arial"/>
                                  <w:sz w:val="18"/>
                                  <w:szCs w:val="18"/>
                                  <w:lang w:eastAsia="ja-JP"/>
                                </w:rPr>
                                <w:t>Kopenhagen</w:t>
                              </w:r>
                            </w:hyperlink>
                            <w:r w:rsidRPr="00382723">
                              <w:rPr>
                                <w:rFonts w:cs="Arial"/>
                                <w:sz w:val="18"/>
                                <w:szCs w:val="18"/>
                                <w:lang w:eastAsia="ja-JP"/>
                              </w:rPr>
                              <w:t xml:space="preserve"> und einer der führenden Produzenten von Wandbaustoffen in Europa. Im Geschäftsjahr 2018 erwirtschaftete die Unternehmensgruppe einen Umsatz von über 300 Millionen Euro. H+H betreibt 29 Werke in Deutschland, Groß-britannien, Polen, Russland und der Schweiz. In diesen werden pro Jahr über vier Millionen Kubikmeter Wandbaustoffe produziert. In Dänemark, Schweden und den Beneluxländern existieren darüber hinaus Vertriebsgesellschaften. Weltweit beschäftigt die Gruppe mehr als 1.600 Mitarbeiterinnen und Mitarbeiter.</w:t>
                            </w:r>
                            <w:r w:rsidRPr="00382723">
                              <w:rPr>
                                <w:rFonts w:cs="Arial"/>
                                <w:sz w:val="18"/>
                                <w:szCs w:val="18"/>
                              </w:rPr>
                              <w:t xml:space="preserve"> </w:t>
                            </w:r>
                          </w:p>
                          <w:p w14:paraId="5EB724B3" w14:textId="77777777" w:rsidR="00382723" w:rsidRPr="00382723" w:rsidRDefault="00382723" w:rsidP="00382723">
                            <w:pPr>
                              <w:jc w:val="both"/>
                              <w:rPr>
                                <w:rFonts w:cs="Arial"/>
                                <w:sz w:val="18"/>
                                <w:szCs w:val="18"/>
                              </w:rPr>
                            </w:pPr>
                          </w:p>
                          <w:p w14:paraId="3307CE81" w14:textId="77777777" w:rsidR="00382723" w:rsidRPr="00382723" w:rsidRDefault="00382723" w:rsidP="00382723">
                            <w:pPr>
                              <w:jc w:val="both"/>
                              <w:rPr>
                                <w:rFonts w:cs="Arial"/>
                                <w:sz w:val="18"/>
                                <w:szCs w:val="18"/>
                              </w:rPr>
                            </w:pPr>
                            <w:r w:rsidRPr="00382723">
                              <w:rPr>
                                <w:rFonts w:cs="Arial"/>
                                <w:sz w:val="18"/>
                                <w:szCs w:val="18"/>
                              </w:rPr>
                              <w:t>In Deutschland ist H+H heute Eigentümer bzw. Mehrheitseigner von elf Werken zur Herstellung von Porenbeton und Kalksandstein. Sie erwirtschaften einen jährlichen Gesamtumsatz von rund 100 Millionen Euro. Die deutschen Tochtergesellschaften beschäftigen etwa 450 Mitarbeiterinnen und Mitarbeiter.</w:t>
                            </w:r>
                          </w:p>
                          <w:p w14:paraId="4D89FEC8" w14:textId="77777777" w:rsidR="00382723" w:rsidRPr="0051717E" w:rsidRDefault="00382723" w:rsidP="00382723">
                            <w:pPr>
                              <w:autoSpaceDE w:val="0"/>
                              <w:autoSpaceDN w:val="0"/>
                              <w:adjustRightInd w:val="0"/>
                              <w:jc w:val="both"/>
                              <w:rPr>
                                <w:rFonts w:cs="Arial"/>
                                <w:lang w:eastAsia="ja-JP"/>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5" o:spid="_x0000_s1026" type="#_x0000_t202" style="width:325.65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">
                <v:textbox>
                  <w:txbxContent>
                    <w:p w14:paraId="5CA27032" w14:textId="77777777" w:rsidR="00382723" w:rsidRPr="00382723" w:rsidRDefault="00382723" w:rsidP="00382723">
                      <w:pPr>
                        <w:jc w:val="both"/>
                        <w:rPr>
                          <w:rFonts w:cs="Arial"/>
                          <w:sz w:val="18"/>
                          <w:szCs w:val="18"/>
                        </w:rPr>
                      </w:pPr>
                      <w:r w:rsidRPr="00382723">
                        <w:rPr>
                          <w:rFonts w:cs="Arial"/>
                          <w:b/>
                          <w:bCs/>
                          <w:sz w:val="18"/>
                          <w:szCs w:val="18"/>
                          <w:lang w:eastAsia="ja-JP"/>
                        </w:rPr>
                        <w:t>H+H International A/S</w:t>
                      </w:r>
                      <w:r w:rsidRPr="00382723">
                        <w:rPr>
                          <w:rFonts w:cs="Arial"/>
                          <w:sz w:val="18"/>
                          <w:szCs w:val="18"/>
                          <w:lang w:eastAsia="ja-JP"/>
                        </w:rPr>
                        <w:t xml:space="preserve"> ist ein an der dänischen Börse notiertes Unternehmen mit Hauptsitz in </w:t>
                      </w:r>
                      <w:hyperlink r:id="rId13" w:history="1">
                        <w:r w:rsidRPr="00382723">
                          <w:rPr>
                            <w:rFonts w:cs="Arial"/>
                            <w:sz w:val="18"/>
                            <w:szCs w:val="18"/>
                            <w:lang w:eastAsia="ja-JP"/>
                          </w:rPr>
                          <w:t>Kopenhagen</w:t>
                        </w:r>
                      </w:hyperlink>
                      <w:r w:rsidRPr="00382723">
                        <w:rPr>
                          <w:rFonts w:cs="Arial"/>
                          <w:sz w:val="18"/>
                          <w:szCs w:val="18"/>
                          <w:lang w:eastAsia="ja-JP"/>
                        </w:rPr>
                        <w:t xml:space="preserve"> und einer der führenden Produzenten von Wandbaustoffen in Europa. Im Geschäftsjahr 2018 erwirtschaftete die Unternehmensgruppe einen Umsatz von über 300 Millionen Euro. H+H betreibt 29 Werke in Deutschland, Groß-britannien, Polen, Russland und der Schweiz. In diesen werden pro Jahr über vier Millionen Kubikmeter Wandbaustoffe produziert. In Dänemark, Schweden und den Beneluxländern existieren darüber hinaus Vertriebsgesellschaften. Weltweit beschäftigt die Gruppe mehr als 1.600 Mitarbeiterinnen und Mitarbeiter.</w:t>
                      </w:r>
                      <w:r w:rsidRPr="00382723">
                        <w:rPr>
                          <w:rFonts w:cs="Arial"/>
                          <w:sz w:val="18"/>
                          <w:szCs w:val="18"/>
                        </w:rPr>
                        <w:t xml:space="preserve"> </w:t>
                      </w:r>
                    </w:p>
                    <w:p w14:paraId="5EB724B3" w14:textId="77777777" w:rsidR="00382723" w:rsidRPr="00382723" w:rsidRDefault="00382723" w:rsidP="00382723">
                      <w:pPr>
                        <w:jc w:val="both"/>
                        <w:rPr>
                          <w:rFonts w:cs="Arial"/>
                          <w:sz w:val="18"/>
                          <w:szCs w:val="18"/>
                        </w:rPr>
                      </w:pPr>
                    </w:p>
                    <w:p w14:paraId="3307CE81" w14:textId="77777777" w:rsidR="00382723" w:rsidRPr="00382723" w:rsidRDefault="00382723" w:rsidP="00382723">
                      <w:pPr>
                        <w:jc w:val="both"/>
                        <w:rPr>
                          <w:rFonts w:cs="Arial"/>
                          <w:sz w:val="18"/>
                          <w:szCs w:val="18"/>
                        </w:rPr>
                      </w:pPr>
                      <w:r w:rsidRPr="00382723">
                        <w:rPr>
                          <w:rFonts w:cs="Arial"/>
                          <w:sz w:val="18"/>
                          <w:szCs w:val="18"/>
                        </w:rPr>
                        <w:t>In Deutschland ist H+H heute Eigentümer bzw. Mehrheitseigner von elf Werken zur Herstellung von Porenbeton und Kalksandstein. Sie erwirtschaften einen jährlichen Gesamtumsatz von rund 100 Millionen Euro. Die deutschen Tochtergesellschaften beschäftigen etwa 450 Mitarbeiterinnen und Mitarbeiter.</w:t>
                      </w:r>
                    </w:p>
                    <w:p w14:paraId="4D89FEC8" w14:textId="77777777" w:rsidR="00382723" w:rsidRPr="0051717E" w:rsidRDefault="00382723" w:rsidP="00382723">
                      <w:pPr>
                        <w:autoSpaceDE w:val="0"/>
                        <w:autoSpaceDN w:val="0"/>
                        <w:adjustRightInd w:val="0"/>
                        <w:jc w:val="both"/>
                        <w:rPr>
                          <w:rFonts w:cs="Arial"/>
                          <w:lang w:eastAsia="ja-JP"/>
                        </w:rPr>
                      </w:pPr>
                    </w:p>
                  </w:txbxContent>
                </v:textbox>
                <w10:anchorlock/>
              </v:shape>
            </w:pict>
          </mc:Fallback>
        </mc:AlternateContent>
      </w:r>
    </w:p>
    <w:p w14:paraId="7B0EA605" w14:textId="77777777" w:rsidR="005F493A" w:rsidRPr="00382723" w:rsidRDefault="005F493A" w:rsidP="00DC1544">
      <w:pPr>
        <w:rPr>
          <w:rFonts w:cs="Arial"/>
          <w:i/>
          <w:sz w:val="18"/>
          <w:szCs w:val="18"/>
          <w:lang w:eastAsia="ja-JP"/>
        </w:rPr>
      </w:pPr>
    </w:p>
    <w:p w14:paraId="0ABD9D2F" w14:textId="77777777" w:rsidR="00382723" w:rsidRDefault="00382723" w:rsidP="00DC1544">
      <w:pPr>
        <w:rPr>
          <w:rFonts w:cs="Arial"/>
          <w:i/>
          <w:sz w:val="18"/>
          <w:szCs w:val="18"/>
          <w:lang w:eastAsia="ja-JP"/>
        </w:rPr>
      </w:pPr>
    </w:p>
    <w:p w14:paraId="7C0406F9" w14:textId="77777777" w:rsidR="00DC1544" w:rsidRPr="00382723" w:rsidRDefault="00DC1544" w:rsidP="00DC1544">
      <w:pPr>
        <w:rPr>
          <w:rFonts w:cs="Arial"/>
          <w:i/>
          <w:sz w:val="18"/>
          <w:szCs w:val="18"/>
          <w:lang w:eastAsia="ja-JP"/>
        </w:rPr>
      </w:pPr>
      <w:r w:rsidRPr="00382723">
        <w:rPr>
          <w:rFonts w:cs="Arial"/>
          <w:i/>
          <w:sz w:val="18"/>
          <w:szCs w:val="18"/>
          <w:lang w:eastAsia="ja-JP"/>
        </w:rPr>
        <w:t>Abdruck frei. Beleg erbeten an:</w:t>
      </w:r>
    </w:p>
    <w:p w14:paraId="418C73B8" w14:textId="77777777" w:rsidR="00DC1544" w:rsidRPr="00382723" w:rsidRDefault="00DC1544" w:rsidP="00DC1544">
      <w:pPr>
        <w:rPr>
          <w:rFonts w:cs="Arial"/>
          <w:i/>
          <w:sz w:val="18"/>
          <w:szCs w:val="18"/>
        </w:rPr>
      </w:pPr>
      <w:r w:rsidRPr="00382723">
        <w:rPr>
          <w:rFonts w:cs="Arial"/>
          <w:i/>
          <w:sz w:val="18"/>
          <w:szCs w:val="18"/>
          <w:lang w:eastAsia="ja-JP"/>
        </w:rPr>
        <w:t>Dr. Sälzer Pressedienst, Lensbachstraße 10, 52159 Roetgen</w:t>
      </w:r>
    </w:p>
    <w:sectPr w:rsidR="00DC1544" w:rsidRPr="00382723" w:rsidSect="008C1F0D">
      <w:headerReference w:type="default" r:id="rId14"/>
      <w:footerReference w:type="default" r:id="rId15"/>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6B511" w14:textId="77777777" w:rsidR="009D694E" w:rsidRDefault="009D694E">
      <w:r>
        <w:separator/>
      </w:r>
    </w:p>
  </w:endnote>
  <w:endnote w:type="continuationSeparator" w:id="0">
    <w:p w14:paraId="749CA49B" w14:textId="77777777" w:rsidR="009D694E" w:rsidRDefault="009D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4466" w14:textId="77777777"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4172B">
      <w:rPr>
        <w:rStyle w:val="Seitenzahl"/>
        <w:noProof/>
      </w:rPr>
      <w:t>2</w:t>
    </w:r>
    <w:r>
      <w:rPr>
        <w:rStyle w:val="Seitenzahl"/>
      </w:rPr>
      <w:fldChar w:fldCharType="end"/>
    </w:r>
  </w:p>
  <w:p w14:paraId="7992BFD0" w14:textId="77777777" w:rsidR="00783DA7" w:rsidRDefault="00783DA7" w:rsidP="00274485">
    <w:pPr>
      <w:pStyle w:val="Fuzeile"/>
    </w:pPr>
    <w:r>
      <w:rPr>
        <w:noProof/>
        <w:lang w:eastAsia="de-DE"/>
      </w:rPr>
      <w:drawing>
        <wp:anchor distT="0" distB="0" distL="114300" distR="114300" simplePos="0" relativeHeight="251658240" behindDoc="1" locked="0" layoutInCell="1" allowOverlap="1" wp14:anchorId="6053343B" wp14:editId="730793C5">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84F12" w14:textId="77777777" w:rsidR="009D694E" w:rsidRDefault="009D694E">
      <w:r>
        <w:separator/>
      </w:r>
    </w:p>
  </w:footnote>
  <w:footnote w:type="continuationSeparator" w:id="0">
    <w:p w14:paraId="15A4EE06" w14:textId="77777777" w:rsidR="009D694E" w:rsidRDefault="009D6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BAAD" w14:textId="3465980C" w:rsidR="00783DA7" w:rsidRDefault="00430E4D" w:rsidP="00C762B3">
    <w:pPr>
      <w:pStyle w:val="Kopfzeile"/>
      <w:jc w:val="right"/>
    </w:pPr>
    <w:r>
      <w:rPr>
        <w:noProof/>
        <w:lang w:eastAsia="de-DE"/>
      </w:rPr>
      <w:drawing>
        <wp:anchor distT="0" distB="0" distL="114300" distR="114300" simplePos="0" relativeHeight="251660288" behindDoc="1" locked="0" layoutInCell="1" allowOverlap="1" wp14:anchorId="3886C4B9" wp14:editId="54C99859">
          <wp:simplePos x="0" y="0"/>
          <wp:positionH relativeFrom="column">
            <wp:posOffset>-2518410</wp:posOffset>
          </wp:positionH>
          <wp:positionV relativeFrom="paragraph">
            <wp:posOffset>-445466</wp:posOffset>
          </wp:positionV>
          <wp:extent cx="7574400" cy="2415600"/>
          <wp:effectExtent l="0" t="0" r="7620" b="3810"/>
          <wp:wrapNone/>
          <wp:docPr id="9" name="Grafik 9" descr="D:\AAWORK\Kunden\H+H\Texte\H+H_kopf_PI_deutschland_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AWORK\Kunden\H+H\Texte\H+H_kopf_PI_deutschland_201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24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D14C4E"/>
    <w:multiLevelType w:val="multilevel"/>
    <w:tmpl w:val="296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976992"/>
    <w:multiLevelType w:val="multilevel"/>
    <w:tmpl w:val="840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A5A77"/>
    <w:multiLevelType w:val="hybridMultilevel"/>
    <w:tmpl w:val="B20AE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DE7A21"/>
    <w:multiLevelType w:val="multilevel"/>
    <w:tmpl w:val="26B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8F7412"/>
    <w:multiLevelType w:val="multilevel"/>
    <w:tmpl w:val="4166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3"/>
  </w:num>
  <w:num w:numId="4">
    <w:abstractNumId w:val="0"/>
  </w:num>
  <w:num w:numId="5">
    <w:abstractNumId w:val="1"/>
  </w:num>
  <w:num w:numId="6">
    <w:abstractNumId w:val="5"/>
  </w:num>
  <w:num w:numId="7">
    <w:abstractNumId w:val="10"/>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0179A"/>
    <w:rsid w:val="0000319A"/>
    <w:rsid w:val="000141DE"/>
    <w:rsid w:val="00023312"/>
    <w:rsid w:val="0002338D"/>
    <w:rsid w:val="000241A0"/>
    <w:rsid w:val="000243B6"/>
    <w:rsid w:val="0002443B"/>
    <w:rsid w:val="00032629"/>
    <w:rsid w:val="00041CF9"/>
    <w:rsid w:val="00045ABA"/>
    <w:rsid w:val="0004642C"/>
    <w:rsid w:val="0005072C"/>
    <w:rsid w:val="00055F48"/>
    <w:rsid w:val="000646AF"/>
    <w:rsid w:val="00072B57"/>
    <w:rsid w:val="000739D9"/>
    <w:rsid w:val="00077B9F"/>
    <w:rsid w:val="00080C0D"/>
    <w:rsid w:val="00082045"/>
    <w:rsid w:val="000828CC"/>
    <w:rsid w:val="00092B06"/>
    <w:rsid w:val="00095965"/>
    <w:rsid w:val="0009786C"/>
    <w:rsid w:val="000A4D16"/>
    <w:rsid w:val="000A73EF"/>
    <w:rsid w:val="000A7979"/>
    <w:rsid w:val="000B5F3F"/>
    <w:rsid w:val="000B7C70"/>
    <w:rsid w:val="000C2BAF"/>
    <w:rsid w:val="000D054B"/>
    <w:rsid w:val="000D05C6"/>
    <w:rsid w:val="000D0E33"/>
    <w:rsid w:val="000D45E9"/>
    <w:rsid w:val="000D7947"/>
    <w:rsid w:val="000E481B"/>
    <w:rsid w:val="000F4146"/>
    <w:rsid w:val="001053B8"/>
    <w:rsid w:val="00107783"/>
    <w:rsid w:val="00114BC6"/>
    <w:rsid w:val="00135B56"/>
    <w:rsid w:val="00150927"/>
    <w:rsid w:val="0015127D"/>
    <w:rsid w:val="00151C36"/>
    <w:rsid w:val="00162DE2"/>
    <w:rsid w:val="001633C7"/>
    <w:rsid w:val="001657E5"/>
    <w:rsid w:val="001760C4"/>
    <w:rsid w:val="00180B22"/>
    <w:rsid w:val="00187745"/>
    <w:rsid w:val="001909F5"/>
    <w:rsid w:val="0019762F"/>
    <w:rsid w:val="001A21D0"/>
    <w:rsid w:val="001A4BD0"/>
    <w:rsid w:val="001A5DA6"/>
    <w:rsid w:val="001B055B"/>
    <w:rsid w:val="001B169B"/>
    <w:rsid w:val="001B2098"/>
    <w:rsid w:val="001B24A8"/>
    <w:rsid w:val="001B5DE1"/>
    <w:rsid w:val="001B65BF"/>
    <w:rsid w:val="001C1AF6"/>
    <w:rsid w:val="001C322C"/>
    <w:rsid w:val="001C45AB"/>
    <w:rsid w:val="001C4B05"/>
    <w:rsid w:val="001D03EF"/>
    <w:rsid w:val="001D0CC5"/>
    <w:rsid w:val="001E04EA"/>
    <w:rsid w:val="001E0F4F"/>
    <w:rsid w:val="001E14C1"/>
    <w:rsid w:val="001F19EA"/>
    <w:rsid w:val="001F4646"/>
    <w:rsid w:val="001F51F2"/>
    <w:rsid w:val="00201DDE"/>
    <w:rsid w:val="00202B6D"/>
    <w:rsid w:val="00205265"/>
    <w:rsid w:val="00207522"/>
    <w:rsid w:val="00212944"/>
    <w:rsid w:val="00212CFD"/>
    <w:rsid w:val="002151C7"/>
    <w:rsid w:val="002165F4"/>
    <w:rsid w:val="0023369A"/>
    <w:rsid w:val="002341E8"/>
    <w:rsid w:val="00236B63"/>
    <w:rsid w:val="002378D5"/>
    <w:rsid w:val="00251BD2"/>
    <w:rsid w:val="00254C8C"/>
    <w:rsid w:val="00256DE1"/>
    <w:rsid w:val="00267250"/>
    <w:rsid w:val="00272483"/>
    <w:rsid w:val="002724E4"/>
    <w:rsid w:val="00274485"/>
    <w:rsid w:val="002750AA"/>
    <w:rsid w:val="00275838"/>
    <w:rsid w:val="00287A0A"/>
    <w:rsid w:val="002A7B42"/>
    <w:rsid w:val="002B15AF"/>
    <w:rsid w:val="002D487D"/>
    <w:rsid w:val="002E2C15"/>
    <w:rsid w:val="002F00A4"/>
    <w:rsid w:val="002F069C"/>
    <w:rsid w:val="002F12D9"/>
    <w:rsid w:val="002F48B9"/>
    <w:rsid w:val="00300482"/>
    <w:rsid w:val="00303ACD"/>
    <w:rsid w:val="00303C9E"/>
    <w:rsid w:val="00306915"/>
    <w:rsid w:val="00325C54"/>
    <w:rsid w:val="00327E4C"/>
    <w:rsid w:val="00332553"/>
    <w:rsid w:val="00333040"/>
    <w:rsid w:val="0033530F"/>
    <w:rsid w:val="003356FD"/>
    <w:rsid w:val="00335C31"/>
    <w:rsid w:val="00340049"/>
    <w:rsid w:val="00340333"/>
    <w:rsid w:val="0035268D"/>
    <w:rsid w:val="003543F5"/>
    <w:rsid w:val="00365D13"/>
    <w:rsid w:val="00371D2A"/>
    <w:rsid w:val="003734D5"/>
    <w:rsid w:val="00380B89"/>
    <w:rsid w:val="00382723"/>
    <w:rsid w:val="0038305A"/>
    <w:rsid w:val="0039066F"/>
    <w:rsid w:val="003A23D5"/>
    <w:rsid w:val="003B4076"/>
    <w:rsid w:val="003B7672"/>
    <w:rsid w:val="003C1258"/>
    <w:rsid w:val="003C1EF8"/>
    <w:rsid w:val="003C2B9A"/>
    <w:rsid w:val="003C37B1"/>
    <w:rsid w:val="003C4445"/>
    <w:rsid w:val="003D5EC9"/>
    <w:rsid w:val="003F0CD2"/>
    <w:rsid w:val="003F128A"/>
    <w:rsid w:val="003F27AE"/>
    <w:rsid w:val="003F2C03"/>
    <w:rsid w:val="00410B8B"/>
    <w:rsid w:val="00415B08"/>
    <w:rsid w:val="00415B90"/>
    <w:rsid w:val="004161E9"/>
    <w:rsid w:val="00422A68"/>
    <w:rsid w:val="00425EFD"/>
    <w:rsid w:val="0042701B"/>
    <w:rsid w:val="00427A56"/>
    <w:rsid w:val="00430E4D"/>
    <w:rsid w:val="0044172B"/>
    <w:rsid w:val="00445D90"/>
    <w:rsid w:val="00461D9A"/>
    <w:rsid w:val="00467379"/>
    <w:rsid w:val="00471BA4"/>
    <w:rsid w:val="00472014"/>
    <w:rsid w:val="00473B0C"/>
    <w:rsid w:val="00476285"/>
    <w:rsid w:val="00481A9D"/>
    <w:rsid w:val="00481CA2"/>
    <w:rsid w:val="00492600"/>
    <w:rsid w:val="004A0410"/>
    <w:rsid w:val="004A3BA2"/>
    <w:rsid w:val="004A7CD9"/>
    <w:rsid w:val="004A7E60"/>
    <w:rsid w:val="004C36FB"/>
    <w:rsid w:val="004C620A"/>
    <w:rsid w:val="004D0B94"/>
    <w:rsid w:val="004D70F8"/>
    <w:rsid w:val="004E03A9"/>
    <w:rsid w:val="004F4684"/>
    <w:rsid w:val="004F50D6"/>
    <w:rsid w:val="00515AC0"/>
    <w:rsid w:val="005255F4"/>
    <w:rsid w:val="005273F6"/>
    <w:rsid w:val="00527ECA"/>
    <w:rsid w:val="00530729"/>
    <w:rsid w:val="00537DC1"/>
    <w:rsid w:val="00541DDE"/>
    <w:rsid w:val="00543A0C"/>
    <w:rsid w:val="00550EBF"/>
    <w:rsid w:val="005510F4"/>
    <w:rsid w:val="00551B8E"/>
    <w:rsid w:val="00554B88"/>
    <w:rsid w:val="005569DE"/>
    <w:rsid w:val="00566B70"/>
    <w:rsid w:val="005704FB"/>
    <w:rsid w:val="00575CF3"/>
    <w:rsid w:val="00577AF7"/>
    <w:rsid w:val="00582AA1"/>
    <w:rsid w:val="00584C70"/>
    <w:rsid w:val="00591008"/>
    <w:rsid w:val="0059176B"/>
    <w:rsid w:val="00592DE7"/>
    <w:rsid w:val="005A185B"/>
    <w:rsid w:val="005A1C5F"/>
    <w:rsid w:val="005A26DD"/>
    <w:rsid w:val="005A35F7"/>
    <w:rsid w:val="005B4AFB"/>
    <w:rsid w:val="005C0189"/>
    <w:rsid w:val="005E5C92"/>
    <w:rsid w:val="005F044E"/>
    <w:rsid w:val="005F493A"/>
    <w:rsid w:val="00614185"/>
    <w:rsid w:val="006141EF"/>
    <w:rsid w:val="00620F8F"/>
    <w:rsid w:val="00623943"/>
    <w:rsid w:val="006253F6"/>
    <w:rsid w:val="00627BA1"/>
    <w:rsid w:val="00641E3A"/>
    <w:rsid w:val="00642054"/>
    <w:rsid w:val="0064276A"/>
    <w:rsid w:val="00643D90"/>
    <w:rsid w:val="00644884"/>
    <w:rsid w:val="006451BC"/>
    <w:rsid w:val="006521A2"/>
    <w:rsid w:val="0065294A"/>
    <w:rsid w:val="00652E18"/>
    <w:rsid w:val="00652FB6"/>
    <w:rsid w:val="006713B7"/>
    <w:rsid w:val="006748CD"/>
    <w:rsid w:val="006929CF"/>
    <w:rsid w:val="00696C6F"/>
    <w:rsid w:val="006A2FC2"/>
    <w:rsid w:val="006A77BB"/>
    <w:rsid w:val="006B38E0"/>
    <w:rsid w:val="006C221F"/>
    <w:rsid w:val="006C436E"/>
    <w:rsid w:val="006C753A"/>
    <w:rsid w:val="006C7735"/>
    <w:rsid w:val="006D1D8E"/>
    <w:rsid w:val="006D3C81"/>
    <w:rsid w:val="006D4FFF"/>
    <w:rsid w:val="006E2C77"/>
    <w:rsid w:val="006E2E68"/>
    <w:rsid w:val="006E2EF5"/>
    <w:rsid w:val="006E3D38"/>
    <w:rsid w:val="0070142F"/>
    <w:rsid w:val="00701828"/>
    <w:rsid w:val="00701B91"/>
    <w:rsid w:val="0070270C"/>
    <w:rsid w:val="00703696"/>
    <w:rsid w:val="00703FC8"/>
    <w:rsid w:val="00711694"/>
    <w:rsid w:val="00711962"/>
    <w:rsid w:val="00712292"/>
    <w:rsid w:val="00715B36"/>
    <w:rsid w:val="00717880"/>
    <w:rsid w:val="0072773D"/>
    <w:rsid w:val="00731661"/>
    <w:rsid w:val="00732B82"/>
    <w:rsid w:val="00746313"/>
    <w:rsid w:val="00752274"/>
    <w:rsid w:val="00755A97"/>
    <w:rsid w:val="00757155"/>
    <w:rsid w:val="00760D9F"/>
    <w:rsid w:val="00762B42"/>
    <w:rsid w:val="00762B7A"/>
    <w:rsid w:val="007647AA"/>
    <w:rsid w:val="00770255"/>
    <w:rsid w:val="00771BCA"/>
    <w:rsid w:val="00771E8B"/>
    <w:rsid w:val="00772A8C"/>
    <w:rsid w:val="00775498"/>
    <w:rsid w:val="00776BD1"/>
    <w:rsid w:val="00783DA7"/>
    <w:rsid w:val="00791587"/>
    <w:rsid w:val="0079619C"/>
    <w:rsid w:val="007969B7"/>
    <w:rsid w:val="00796AD5"/>
    <w:rsid w:val="007A2A8C"/>
    <w:rsid w:val="007A4A5E"/>
    <w:rsid w:val="007A4A62"/>
    <w:rsid w:val="007B20EE"/>
    <w:rsid w:val="007B2E0A"/>
    <w:rsid w:val="007B5072"/>
    <w:rsid w:val="007B66CF"/>
    <w:rsid w:val="007C3323"/>
    <w:rsid w:val="007E3BAA"/>
    <w:rsid w:val="007E40A3"/>
    <w:rsid w:val="007F1B1D"/>
    <w:rsid w:val="007F329C"/>
    <w:rsid w:val="007F3545"/>
    <w:rsid w:val="007F3E78"/>
    <w:rsid w:val="007F3EBD"/>
    <w:rsid w:val="007F64FD"/>
    <w:rsid w:val="007F7881"/>
    <w:rsid w:val="00800320"/>
    <w:rsid w:val="008056EF"/>
    <w:rsid w:val="00817972"/>
    <w:rsid w:val="00822DAD"/>
    <w:rsid w:val="00824193"/>
    <w:rsid w:val="00827932"/>
    <w:rsid w:val="0083343B"/>
    <w:rsid w:val="00836C6E"/>
    <w:rsid w:val="00847617"/>
    <w:rsid w:val="0084778F"/>
    <w:rsid w:val="00856AED"/>
    <w:rsid w:val="0086190A"/>
    <w:rsid w:val="0087674E"/>
    <w:rsid w:val="0087763F"/>
    <w:rsid w:val="008863C2"/>
    <w:rsid w:val="00887AE4"/>
    <w:rsid w:val="008A2C93"/>
    <w:rsid w:val="008B1347"/>
    <w:rsid w:val="008C072C"/>
    <w:rsid w:val="008C0950"/>
    <w:rsid w:val="008C1F0D"/>
    <w:rsid w:val="008C4EF6"/>
    <w:rsid w:val="008C63A1"/>
    <w:rsid w:val="008C7B21"/>
    <w:rsid w:val="008D2EEC"/>
    <w:rsid w:val="008D75E7"/>
    <w:rsid w:val="008F2DAE"/>
    <w:rsid w:val="008F54C4"/>
    <w:rsid w:val="00900937"/>
    <w:rsid w:val="009014C3"/>
    <w:rsid w:val="00914892"/>
    <w:rsid w:val="00921C57"/>
    <w:rsid w:val="00922539"/>
    <w:rsid w:val="009234D9"/>
    <w:rsid w:val="00924CF2"/>
    <w:rsid w:val="00930DAC"/>
    <w:rsid w:val="0093112C"/>
    <w:rsid w:val="00931A05"/>
    <w:rsid w:val="00936A32"/>
    <w:rsid w:val="0094536F"/>
    <w:rsid w:val="00945AC7"/>
    <w:rsid w:val="00946F9A"/>
    <w:rsid w:val="00951D24"/>
    <w:rsid w:val="00953B9E"/>
    <w:rsid w:val="009568C4"/>
    <w:rsid w:val="00961935"/>
    <w:rsid w:val="00963314"/>
    <w:rsid w:val="00970634"/>
    <w:rsid w:val="0097478D"/>
    <w:rsid w:val="00982243"/>
    <w:rsid w:val="0098246C"/>
    <w:rsid w:val="0098754C"/>
    <w:rsid w:val="009A1D8B"/>
    <w:rsid w:val="009A674F"/>
    <w:rsid w:val="009B7C13"/>
    <w:rsid w:val="009C557A"/>
    <w:rsid w:val="009D0BF8"/>
    <w:rsid w:val="009D4E59"/>
    <w:rsid w:val="009D694E"/>
    <w:rsid w:val="009E0F95"/>
    <w:rsid w:val="009E2DDF"/>
    <w:rsid w:val="009F6714"/>
    <w:rsid w:val="00A06286"/>
    <w:rsid w:val="00A11423"/>
    <w:rsid w:val="00A11EE5"/>
    <w:rsid w:val="00A15D04"/>
    <w:rsid w:val="00A25A22"/>
    <w:rsid w:val="00A302C9"/>
    <w:rsid w:val="00A36BC4"/>
    <w:rsid w:val="00A5379F"/>
    <w:rsid w:val="00A57C7E"/>
    <w:rsid w:val="00A61355"/>
    <w:rsid w:val="00A61CFF"/>
    <w:rsid w:val="00A67CAF"/>
    <w:rsid w:val="00A76A80"/>
    <w:rsid w:val="00A779DD"/>
    <w:rsid w:val="00A77EAD"/>
    <w:rsid w:val="00A82407"/>
    <w:rsid w:val="00A93DB5"/>
    <w:rsid w:val="00A95B5F"/>
    <w:rsid w:val="00A976C0"/>
    <w:rsid w:val="00AA5DA9"/>
    <w:rsid w:val="00AA7024"/>
    <w:rsid w:val="00AB0D10"/>
    <w:rsid w:val="00AB4C1F"/>
    <w:rsid w:val="00AB64D0"/>
    <w:rsid w:val="00AC1BB4"/>
    <w:rsid w:val="00AC59EF"/>
    <w:rsid w:val="00AD4A7F"/>
    <w:rsid w:val="00AD5415"/>
    <w:rsid w:val="00AD6843"/>
    <w:rsid w:val="00AD6A5F"/>
    <w:rsid w:val="00AD7FCD"/>
    <w:rsid w:val="00AE2E37"/>
    <w:rsid w:val="00AE3F10"/>
    <w:rsid w:val="00AE4361"/>
    <w:rsid w:val="00AF03A1"/>
    <w:rsid w:val="00AF5A7E"/>
    <w:rsid w:val="00B13430"/>
    <w:rsid w:val="00B2049F"/>
    <w:rsid w:val="00B21B9A"/>
    <w:rsid w:val="00B27CD7"/>
    <w:rsid w:val="00B34275"/>
    <w:rsid w:val="00B4254C"/>
    <w:rsid w:val="00B43545"/>
    <w:rsid w:val="00B451FB"/>
    <w:rsid w:val="00B55259"/>
    <w:rsid w:val="00B55C79"/>
    <w:rsid w:val="00B57BA7"/>
    <w:rsid w:val="00B6220F"/>
    <w:rsid w:val="00B6724F"/>
    <w:rsid w:val="00B737B0"/>
    <w:rsid w:val="00B75D68"/>
    <w:rsid w:val="00B76522"/>
    <w:rsid w:val="00B82F9C"/>
    <w:rsid w:val="00B95070"/>
    <w:rsid w:val="00B959FD"/>
    <w:rsid w:val="00BA02A4"/>
    <w:rsid w:val="00BA2742"/>
    <w:rsid w:val="00BA3442"/>
    <w:rsid w:val="00BB19D6"/>
    <w:rsid w:val="00BB3A66"/>
    <w:rsid w:val="00BB5709"/>
    <w:rsid w:val="00BC2057"/>
    <w:rsid w:val="00BC5A92"/>
    <w:rsid w:val="00BD2CBC"/>
    <w:rsid w:val="00BD451D"/>
    <w:rsid w:val="00BE3731"/>
    <w:rsid w:val="00BE4F21"/>
    <w:rsid w:val="00BF342B"/>
    <w:rsid w:val="00BF5188"/>
    <w:rsid w:val="00BF5660"/>
    <w:rsid w:val="00C02E11"/>
    <w:rsid w:val="00C100A2"/>
    <w:rsid w:val="00C2139D"/>
    <w:rsid w:val="00C24E06"/>
    <w:rsid w:val="00C36CFF"/>
    <w:rsid w:val="00C370BD"/>
    <w:rsid w:val="00C40C75"/>
    <w:rsid w:val="00C41D67"/>
    <w:rsid w:val="00C433A6"/>
    <w:rsid w:val="00C52780"/>
    <w:rsid w:val="00C528C5"/>
    <w:rsid w:val="00C57B69"/>
    <w:rsid w:val="00C61496"/>
    <w:rsid w:val="00C6555D"/>
    <w:rsid w:val="00C73FD0"/>
    <w:rsid w:val="00C762B3"/>
    <w:rsid w:val="00C823CE"/>
    <w:rsid w:val="00C8400B"/>
    <w:rsid w:val="00C91F95"/>
    <w:rsid w:val="00C94D85"/>
    <w:rsid w:val="00CA0E1B"/>
    <w:rsid w:val="00CA797B"/>
    <w:rsid w:val="00CD480D"/>
    <w:rsid w:val="00CD49A8"/>
    <w:rsid w:val="00CD7827"/>
    <w:rsid w:val="00CF7647"/>
    <w:rsid w:val="00D0394C"/>
    <w:rsid w:val="00D116F9"/>
    <w:rsid w:val="00D11A5F"/>
    <w:rsid w:val="00D12BAB"/>
    <w:rsid w:val="00D2046D"/>
    <w:rsid w:val="00D20EEE"/>
    <w:rsid w:val="00D227C5"/>
    <w:rsid w:val="00D22C05"/>
    <w:rsid w:val="00D27A72"/>
    <w:rsid w:val="00D30DCF"/>
    <w:rsid w:val="00D32FF4"/>
    <w:rsid w:val="00D4289C"/>
    <w:rsid w:val="00D438DE"/>
    <w:rsid w:val="00D54752"/>
    <w:rsid w:val="00D63645"/>
    <w:rsid w:val="00D6373D"/>
    <w:rsid w:val="00D64781"/>
    <w:rsid w:val="00D673C8"/>
    <w:rsid w:val="00D746D1"/>
    <w:rsid w:val="00D7530C"/>
    <w:rsid w:val="00D7708D"/>
    <w:rsid w:val="00D82513"/>
    <w:rsid w:val="00D83648"/>
    <w:rsid w:val="00D93AD1"/>
    <w:rsid w:val="00DA5127"/>
    <w:rsid w:val="00DB4D4C"/>
    <w:rsid w:val="00DC1544"/>
    <w:rsid w:val="00DC6658"/>
    <w:rsid w:val="00DD5562"/>
    <w:rsid w:val="00E123B1"/>
    <w:rsid w:val="00E202FD"/>
    <w:rsid w:val="00E22D9B"/>
    <w:rsid w:val="00E36E05"/>
    <w:rsid w:val="00E42021"/>
    <w:rsid w:val="00E44ADD"/>
    <w:rsid w:val="00E45C40"/>
    <w:rsid w:val="00E45F9E"/>
    <w:rsid w:val="00E46B3A"/>
    <w:rsid w:val="00E50F4B"/>
    <w:rsid w:val="00E53341"/>
    <w:rsid w:val="00E547E4"/>
    <w:rsid w:val="00E547FC"/>
    <w:rsid w:val="00E55EC6"/>
    <w:rsid w:val="00E56B76"/>
    <w:rsid w:val="00E62CE0"/>
    <w:rsid w:val="00E84A03"/>
    <w:rsid w:val="00E92037"/>
    <w:rsid w:val="00E930B7"/>
    <w:rsid w:val="00E9642F"/>
    <w:rsid w:val="00EA405E"/>
    <w:rsid w:val="00EA5069"/>
    <w:rsid w:val="00EA5A08"/>
    <w:rsid w:val="00EC6251"/>
    <w:rsid w:val="00ED6947"/>
    <w:rsid w:val="00EE105E"/>
    <w:rsid w:val="00EE31C5"/>
    <w:rsid w:val="00EF3C06"/>
    <w:rsid w:val="00EF4D20"/>
    <w:rsid w:val="00EF66C5"/>
    <w:rsid w:val="00EF73DD"/>
    <w:rsid w:val="00F009BC"/>
    <w:rsid w:val="00F0365E"/>
    <w:rsid w:val="00F04098"/>
    <w:rsid w:val="00F05DBE"/>
    <w:rsid w:val="00F1403A"/>
    <w:rsid w:val="00F151CB"/>
    <w:rsid w:val="00F21FFC"/>
    <w:rsid w:val="00F24563"/>
    <w:rsid w:val="00F33559"/>
    <w:rsid w:val="00F348CE"/>
    <w:rsid w:val="00F36622"/>
    <w:rsid w:val="00F465E9"/>
    <w:rsid w:val="00F466E5"/>
    <w:rsid w:val="00F52B65"/>
    <w:rsid w:val="00F717EB"/>
    <w:rsid w:val="00F71A29"/>
    <w:rsid w:val="00F84AE5"/>
    <w:rsid w:val="00F902C1"/>
    <w:rsid w:val="00F9210F"/>
    <w:rsid w:val="00F95B98"/>
    <w:rsid w:val="00FA3B9E"/>
    <w:rsid w:val="00FB3667"/>
    <w:rsid w:val="00FC0601"/>
    <w:rsid w:val="00FC08F4"/>
    <w:rsid w:val="00FC1F17"/>
    <w:rsid w:val="00FC3E33"/>
    <w:rsid w:val="00FC504C"/>
    <w:rsid w:val="00FD251D"/>
    <w:rsid w:val="00FD2CC3"/>
    <w:rsid w:val="00FE2CB7"/>
    <w:rsid w:val="00FE381A"/>
    <w:rsid w:val="00FF00B1"/>
    <w:rsid w:val="00FF0EB7"/>
    <w:rsid w:val="00FF2A99"/>
    <w:rsid w:val="00FF681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67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1">
      <w:bodyDiv w:val="1"/>
      <w:marLeft w:val="0"/>
      <w:marRight w:val="0"/>
      <w:marTop w:val="0"/>
      <w:marBottom w:val="0"/>
      <w:divBdr>
        <w:top w:val="none" w:sz="0" w:space="0" w:color="auto"/>
        <w:left w:val="none" w:sz="0" w:space="0" w:color="auto"/>
        <w:bottom w:val="none" w:sz="0" w:space="0" w:color="auto"/>
        <w:right w:val="none" w:sz="0" w:space="0" w:color="auto"/>
      </w:divBdr>
    </w:div>
    <w:div w:id="164327644">
      <w:bodyDiv w:val="1"/>
      <w:marLeft w:val="0"/>
      <w:marRight w:val="0"/>
      <w:marTop w:val="0"/>
      <w:marBottom w:val="0"/>
      <w:divBdr>
        <w:top w:val="none" w:sz="0" w:space="0" w:color="auto"/>
        <w:left w:val="none" w:sz="0" w:space="0" w:color="auto"/>
        <w:bottom w:val="none" w:sz="0" w:space="0" w:color="auto"/>
        <w:right w:val="none" w:sz="0" w:space="0" w:color="auto"/>
      </w:divBdr>
    </w:div>
    <w:div w:id="451705556">
      <w:bodyDiv w:val="1"/>
      <w:marLeft w:val="0"/>
      <w:marRight w:val="0"/>
      <w:marTop w:val="0"/>
      <w:marBottom w:val="0"/>
      <w:divBdr>
        <w:top w:val="none" w:sz="0" w:space="0" w:color="auto"/>
        <w:left w:val="none" w:sz="0" w:space="0" w:color="auto"/>
        <w:bottom w:val="none" w:sz="0" w:space="0" w:color="auto"/>
        <w:right w:val="none" w:sz="0" w:space="0" w:color="auto"/>
      </w:divBdr>
    </w:div>
    <w:div w:id="543057648">
      <w:bodyDiv w:val="1"/>
      <w:marLeft w:val="0"/>
      <w:marRight w:val="0"/>
      <w:marTop w:val="0"/>
      <w:marBottom w:val="0"/>
      <w:divBdr>
        <w:top w:val="none" w:sz="0" w:space="0" w:color="auto"/>
        <w:left w:val="none" w:sz="0" w:space="0" w:color="auto"/>
        <w:bottom w:val="none" w:sz="0" w:space="0" w:color="auto"/>
        <w:right w:val="none" w:sz="0" w:space="0" w:color="auto"/>
      </w:divBdr>
    </w:div>
    <w:div w:id="673726152">
      <w:bodyDiv w:val="1"/>
      <w:marLeft w:val="0"/>
      <w:marRight w:val="0"/>
      <w:marTop w:val="0"/>
      <w:marBottom w:val="0"/>
      <w:divBdr>
        <w:top w:val="none" w:sz="0" w:space="0" w:color="auto"/>
        <w:left w:val="none" w:sz="0" w:space="0" w:color="auto"/>
        <w:bottom w:val="none" w:sz="0" w:space="0" w:color="auto"/>
        <w:right w:val="none" w:sz="0" w:space="0" w:color="auto"/>
      </w:divBdr>
    </w:div>
    <w:div w:id="1001010503">
      <w:bodyDiv w:val="1"/>
      <w:marLeft w:val="0"/>
      <w:marRight w:val="0"/>
      <w:marTop w:val="0"/>
      <w:marBottom w:val="0"/>
      <w:divBdr>
        <w:top w:val="none" w:sz="0" w:space="0" w:color="auto"/>
        <w:left w:val="none" w:sz="0" w:space="0" w:color="auto"/>
        <w:bottom w:val="none" w:sz="0" w:space="0" w:color="auto"/>
        <w:right w:val="none" w:sz="0" w:space="0" w:color="auto"/>
      </w:divBdr>
    </w:div>
    <w:div w:id="1161653107">
      <w:bodyDiv w:val="1"/>
      <w:marLeft w:val="0"/>
      <w:marRight w:val="0"/>
      <w:marTop w:val="0"/>
      <w:marBottom w:val="0"/>
      <w:divBdr>
        <w:top w:val="none" w:sz="0" w:space="0" w:color="auto"/>
        <w:left w:val="none" w:sz="0" w:space="0" w:color="auto"/>
        <w:bottom w:val="none" w:sz="0" w:space="0" w:color="auto"/>
        <w:right w:val="none" w:sz="0" w:space="0" w:color="auto"/>
      </w:divBdr>
    </w:div>
    <w:div w:id="1199775199">
      <w:bodyDiv w:val="1"/>
      <w:marLeft w:val="0"/>
      <w:marRight w:val="0"/>
      <w:marTop w:val="0"/>
      <w:marBottom w:val="0"/>
      <w:divBdr>
        <w:top w:val="none" w:sz="0" w:space="0" w:color="auto"/>
        <w:left w:val="none" w:sz="0" w:space="0" w:color="auto"/>
        <w:bottom w:val="none" w:sz="0" w:space="0" w:color="auto"/>
        <w:right w:val="none" w:sz="0" w:space="0" w:color="auto"/>
      </w:divBdr>
      <w:divsChild>
        <w:div w:id="11926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1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6026945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wikipedia.org/wiki/Kopenha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wikipedia.org/wiki/Kopenha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8AC8D1D667FF49ABA8D3B5556FD9BC" ma:contentTypeVersion="11" ma:contentTypeDescription="Opret et nyt dokument." ma:contentTypeScope="" ma:versionID="457a6e0fe31e91d109ba859a2ae9b380">
  <xsd:schema xmlns:xsd="http://www.w3.org/2001/XMLSchema" xmlns:xs="http://www.w3.org/2001/XMLSchema" xmlns:p="http://schemas.microsoft.com/office/2006/metadata/properties" xmlns:ns3="583898d9-535d-437f-9513-b3f76f4ef1bb" xmlns:ns4="11b64d34-a073-4d41-985d-3ef11d278ea2" targetNamespace="http://schemas.microsoft.com/office/2006/metadata/properties" ma:root="true" ma:fieldsID="4f9f3d2dbfaeabe26d8ec23f7be6cbe0" ns3:_="" ns4:_="">
    <xsd:import namespace="583898d9-535d-437f-9513-b3f76f4ef1bb"/>
    <xsd:import namespace="11b64d34-a073-4d41-985d-3ef11d278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898d9-535d-437f-9513-b3f76f4ef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64d34-a073-4d41-985d-3ef11d278ea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9DD7D-E32D-43E2-BDFF-E46B08332663}">
  <ds:schemaRefs>
    <ds:schemaRef ds:uri="http://schemas.microsoft.com/sharepoint/v3/contenttype/forms"/>
  </ds:schemaRefs>
</ds:datastoreItem>
</file>

<file path=customXml/itemProps2.xml><?xml version="1.0" encoding="utf-8"?>
<ds:datastoreItem xmlns:ds="http://schemas.openxmlformats.org/officeDocument/2006/customXml" ds:itemID="{FB437278-FBD9-4065-B9BF-17B938DC4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59E4F-8CB0-4177-833B-EFD1049A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898d9-535d-437f-9513-b3f76f4ef1bb"/>
    <ds:schemaRef ds:uri="11b64d34-a073-4d41-985d-3ef11d278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Comm'n Sense</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6</cp:revision>
  <cp:lastPrinted>2019-07-30T12:00:00Z</cp:lastPrinted>
  <dcterms:created xsi:type="dcterms:W3CDTF">2019-11-29T09:56:00Z</dcterms:created>
  <dcterms:modified xsi:type="dcterms:W3CDTF">2019-12-02T13:27:00Z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0x0101002A8AC8D1D667FF49ABA8D3B5556FD9BC</vt:lpwstr>
  </property>
</Properties>
</file>