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53" w:rsidRDefault="00983953" w:rsidP="000B060D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sz w:val="22"/>
        </w:rPr>
      </w:pPr>
      <w:r>
        <w:rPr>
          <w:rFonts w:cs="Arial"/>
          <w:b/>
          <w:sz w:val="22"/>
        </w:rPr>
        <w:t>Umfirmierung zum 1. Februar</w:t>
      </w:r>
    </w:p>
    <w:p w:rsidR="000B060D" w:rsidRPr="00983953" w:rsidRDefault="00983953" w:rsidP="000B060D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Cs/>
          <w:sz w:val="22"/>
          <w:u w:val="single"/>
        </w:rPr>
      </w:pPr>
      <w:r w:rsidRPr="00983953">
        <w:rPr>
          <w:rFonts w:cs="Arial"/>
          <w:sz w:val="22"/>
          <w:u w:val="single"/>
        </w:rPr>
        <w:t>Heidelberger Kalksandstein GmbH wird H+H Kalksandstein GmbH</w:t>
      </w:r>
    </w:p>
    <w:p w:rsidR="00252EA9" w:rsidRDefault="00252EA9" w:rsidP="000B060D">
      <w:pPr>
        <w:spacing w:line="360" w:lineRule="auto"/>
        <w:rPr>
          <w:rFonts w:cs="Arial"/>
          <w:sz w:val="22"/>
          <w:u w:val="single"/>
        </w:rPr>
      </w:pPr>
    </w:p>
    <w:p w:rsidR="00252EA9" w:rsidRPr="001B2613" w:rsidRDefault="000B060D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  <w:r w:rsidRPr="00FF04E6">
        <w:rPr>
          <w:rFonts w:cs="Arial"/>
          <w:b/>
          <w:sz w:val="22"/>
        </w:rPr>
        <w:t xml:space="preserve">Wittenborn, den </w:t>
      </w:r>
      <w:r w:rsidR="001D335E">
        <w:rPr>
          <w:rFonts w:cs="Arial"/>
          <w:b/>
          <w:sz w:val="22"/>
        </w:rPr>
        <w:t>31</w:t>
      </w:r>
      <w:r w:rsidR="00983953">
        <w:rPr>
          <w:rFonts w:cs="Arial"/>
          <w:b/>
          <w:sz w:val="22"/>
        </w:rPr>
        <w:t>.0</w:t>
      </w:r>
      <w:r w:rsidR="001D335E">
        <w:rPr>
          <w:rFonts w:cs="Arial"/>
          <w:b/>
          <w:sz w:val="22"/>
        </w:rPr>
        <w:t>1</w:t>
      </w:r>
      <w:r w:rsidR="00983953">
        <w:rPr>
          <w:rFonts w:cs="Arial"/>
          <w:b/>
          <w:sz w:val="22"/>
        </w:rPr>
        <w:t>.2019</w:t>
      </w:r>
      <w:r w:rsidRPr="00FF04E6">
        <w:rPr>
          <w:rFonts w:cs="Arial"/>
          <w:b/>
          <w:sz w:val="22"/>
        </w:rPr>
        <w:t xml:space="preserve"> </w:t>
      </w:r>
      <w:r w:rsidRPr="002076CC">
        <w:rPr>
          <w:rFonts w:cs="Arial"/>
          <w:b/>
          <w:sz w:val="22"/>
        </w:rPr>
        <w:t>–</w:t>
      </w:r>
      <w:r w:rsidR="00BF16B5">
        <w:rPr>
          <w:rFonts w:cs="Arial"/>
          <w:b/>
          <w:sz w:val="22"/>
        </w:rPr>
        <w:t xml:space="preserve"> </w:t>
      </w:r>
      <w:r w:rsidR="00B22F21">
        <w:rPr>
          <w:rFonts w:cs="Arial"/>
          <w:b/>
          <w:sz w:val="22"/>
        </w:rPr>
        <w:t>Der</w:t>
      </w:r>
      <w:r w:rsidR="00983953">
        <w:rPr>
          <w:rFonts w:cs="Arial"/>
          <w:b/>
          <w:sz w:val="22"/>
        </w:rPr>
        <w:t xml:space="preserve"> Integrationsprozess nach Übernahme von sieben Kalksandsteinwerken der HeidelbergerCement AG durch die H+H International A/S</w:t>
      </w:r>
      <w:r w:rsidR="00162292">
        <w:rPr>
          <w:rFonts w:cs="Arial"/>
          <w:b/>
          <w:sz w:val="22"/>
        </w:rPr>
        <w:t xml:space="preserve"> im vergangenen Jahr </w:t>
      </w:r>
      <w:r w:rsidR="00B22F21">
        <w:rPr>
          <w:rFonts w:cs="Arial"/>
          <w:b/>
          <w:sz w:val="22"/>
        </w:rPr>
        <w:t xml:space="preserve">wird </w:t>
      </w:r>
      <w:r w:rsidR="00162292">
        <w:rPr>
          <w:rFonts w:cs="Arial"/>
          <w:b/>
          <w:sz w:val="22"/>
        </w:rPr>
        <w:t>jetzt</w:t>
      </w:r>
      <w:r w:rsidR="00665B3E">
        <w:rPr>
          <w:rFonts w:cs="Arial"/>
          <w:b/>
          <w:sz w:val="22"/>
        </w:rPr>
        <w:t xml:space="preserve"> </w:t>
      </w:r>
      <w:r w:rsidR="004D3C2F">
        <w:rPr>
          <w:rFonts w:cs="Arial"/>
          <w:b/>
          <w:sz w:val="22"/>
        </w:rPr>
        <w:t xml:space="preserve">auch in der Außendarstellung </w:t>
      </w:r>
      <w:r w:rsidR="00983953">
        <w:rPr>
          <w:rFonts w:cs="Arial"/>
          <w:b/>
          <w:sz w:val="22"/>
        </w:rPr>
        <w:t>abgeschlossen</w:t>
      </w:r>
      <w:r w:rsidR="001B2613">
        <w:rPr>
          <w:rFonts w:cs="Arial"/>
          <w:b/>
          <w:sz w:val="22"/>
        </w:rPr>
        <w:t>.</w:t>
      </w:r>
      <w:r w:rsidR="00983953">
        <w:rPr>
          <w:rFonts w:cs="Arial"/>
          <w:b/>
          <w:sz w:val="22"/>
        </w:rPr>
        <w:t xml:space="preserve"> Die Heidelberger Kalksandstein GmbH wird </w:t>
      </w:r>
      <w:r w:rsidR="00B22F21">
        <w:rPr>
          <w:rFonts w:cs="Arial"/>
          <w:b/>
          <w:sz w:val="22"/>
        </w:rPr>
        <w:t>zum 1. Februar 2019</w:t>
      </w:r>
      <w:r w:rsidR="00983953">
        <w:rPr>
          <w:rFonts w:cs="Arial"/>
          <w:b/>
          <w:sz w:val="22"/>
        </w:rPr>
        <w:t xml:space="preserve"> zur H+H Kalksandstein GmbH. Die Werke vertreiben </w:t>
      </w:r>
      <w:r w:rsidR="00BA795F">
        <w:rPr>
          <w:rFonts w:cs="Arial"/>
          <w:b/>
          <w:sz w:val="22"/>
        </w:rPr>
        <w:t xml:space="preserve">ihre Produkte </w:t>
      </w:r>
      <w:r w:rsidR="00983953">
        <w:rPr>
          <w:rFonts w:cs="Arial"/>
          <w:b/>
          <w:sz w:val="22"/>
        </w:rPr>
        <w:t>zukünftig unter der Marke H+H</w:t>
      </w:r>
      <w:r w:rsidR="005428EB">
        <w:rPr>
          <w:rFonts w:cs="Arial"/>
          <w:b/>
          <w:sz w:val="22"/>
        </w:rPr>
        <w:t xml:space="preserve"> </w:t>
      </w:r>
      <w:r w:rsidR="00162292">
        <w:rPr>
          <w:rFonts w:cs="Arial"/>
          <w:b/>
          <w:sz w:val="22"/>
        </w:rPr>
        <w:t>Kalksandstein</w:t>
      </w:r>
      <w:r w:rsidR="00983953">
        <w:rPr>
          <w:rFonts w:cs="Arial"/>
          <w:b/>
          <w:sz w:val="22"/>
        </w:rPr>
        <w:t>.</w:t>
      </w:r>
    </w:p>
    <w:p w:rsidR="00C5018B" w:rsidRPr="00C5018B" w:rsidRDefault="00C5018B" w:rsidP="00C5018B">
      <w:pPr>
        <w:widowControl/>
        <w:autoSpaceDE w:val="0"/>
        <w:autoSpaceDN w:val="0"/>
        <w:adjustRightInd w:val="0"/>
        <w:spacing w:line="360" w:lineRule="auto"/>
        <w:rPr>
          <w:rFonts w:cs="Arial"/>
          <w:b/>
          <w:sz w:val="22"/>
        </w:rPr>
      </w:pPr>
    </w:p>
    <w:p w:rsidR="003F4C5B" w:rsidRDefault="005428EB" w:rsidP="00652C86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Joachim Kartaun</w:t>
      </w:r>
      <w:r w:rsidR="00983953">
        <w:rPr>
          <w:rFonts w:cs="Arial"/>
          <w:sz w:val="22"/>
        </w:rPr>
        <w:t xml:space="preserve"> </w:t>
      </w:r>
      <w:r>
        <w:rPr>
          <w:rFonts w:cs="Arial"/>
          <w:sz w:val="22"/>
        </w:rPr>
        <w:t>verantwortet</w:t>
      </w:r>
      <w:r w:rsidR="00983953">
        <w:rPr>
          <w:rFonts w:cs="Arial"/>
          <w:sz w:val="22"/>
        </w:rPr>
        <w:t xml:space="preserve"> sowohl </w:t>
      </w:r>
      <w:r>
        <w:rPr>
          <w:rFonts w:cs="Arial"/>
          <w:sz w:val="22"/>
        </w:rPr>
        <w:t xml:space="preserve">das Marketing </w:t>
      </w:r>
      <w:r w:rsidR="00983953">
        <w:rPr>
          <w:rFonts w:cs="Arial"/>
          <w:sz w:val="22"/>
        </w:rPr>
        <w:t xml:space="preserve">der H+H Deutschland GmbH mit ihren drei Porenbetonwerken als auch </w:t>
      </w:r>
      <w:r w:rsidR="004D3C2F">
        <w:rPr>
          <w:rFonts w:cs="Arial"/>
          <w:sz w:val="22"/>
        </w:rPr>
        <w:t xml:space="preserve">das </w:t>
      </w:r>
      <w:r w:rsidR="00983953">
        <w:rPr>
          <w:rFonts w:cs="Arial"/>
          <w:sz w:val="22"/>
        </w:rPr>
        <w:t>der H+H Kalksandstein GmbH. Er spricht von einer „Entwicklung nach Plan“: „Wir werden 2019 die Marke H+H</w:t>
      </w:r>
      <w:r w:rsidR="001017F5">
        <w:rPr>
          <w:rFonts w:cs="Arial"/>
          <w:sz w:val="22"/>
        </w:rPr>
        <w:t xml:space="preserve"> </w:t>
      </w:r>
      <w:r w:rsidR="00162292">
        <w:rPr>
          <w:rFonts w:cs="Arial"/>
          <w:sz w:val="22"/>
        </w:rPr>
        <w:t xml:space="preserve">in Deutschland </w:t>
      </w:r>
      <w:r w:rsidR="001017F5">
        <w:rPr>
          <w:rFonts w:cs="Arial"/>
          <w:sz w:val="22"/>
        </w:rPr>
        <w:t>mit den beiden Produktlinien H+H Kalksandstein und H+H Porenbeton</w:t>
      </w:r>
      <w:r w:rsidR="00983953">
        <w:rPr>
          <w:rFonts w:cs="Arial"/>
          <w:sz w:val="22"/>
        </w:rPr>
        <w:t xml:space="preserve"> durch eine Vielzahl von Maßnahmen stärken. </w:t>
      </w:r>
      <w:r w:rsidR="00162292">
        <w:rPr>
          <w:rFonts w:cs="Arial"/>
          <w:sz w:val="22"/>
        </w:rPr>
        <w:t>Im Tagesgeschäft ergeben sich f</w:t>
      </w:r>
      <w:r w:rsidR="001017F5">
        <w:rPr>
          <w:rFonts w:cs="Arial"/>
          <w:sz w:val="22"/>
        </w:rPr>
        <w:t xml:space="preserve">ür Kunden aus der </w:t>
      </w:r>
      <w:r w:rsidR="00983953">
        <w:rPr>
          <w:rFonts w:cs="Arial"/>
          <w:sz w:val="22"/>
        </w:rPr>
        <w:t>jetzt vollzogene</w:t>
      </w:r>
      <w:r w:rsidR="001017F5">
        <w:rPr>
          <w:rFonts w:cs="Arial"/>
          <w:sz w:val="22"/>
        </w:rPr>
        <w:t>n</w:t>
      </w:r>
      <w:r w:rsidR="00983953">
        <w:rPr>
          <w:rFonts w:cs="Arial"/>
          <w:sz w:val="22"/>
        </w:rPr>
        <w:t xml:space="preserve"> Umfirmierung </w:t>
      </w:r>
      <w:r w:rsidR="001017F5">
        <w:rPr>
          <w:rFonts w:cs="Arial"/>
          <w:sz w:val="22"/>
        </w:rPr>
        <w:t>keine direkten</w:t>
      </w:r>
      <w:r w:rsidR="00983953">
        <w:rPr>
          <w:rFonts w:cs="Arial"/>
          <w:sz w:val="22"/>
        </w:rPr>
        <w:t xml:space="preserve"> Auswirkungen. Sie behalten ihre gewohnten Ansprechpartner</w:t>
      </w:r>
      <w:r>
        <w:rPr>
          <w:rFonts w:cs="Arial"/>
          <w:sz w:val="22"/>
        </w:rPr>
        <w:t xml:space="preserve"> in den Werken und im Außendienst</w:t>
      </w:r>
      <w:r w:rsidR="00983953">
        <w:rPr>
          <w:rFonts w:cs="Arial"/>
          <w:sz w:val="22"/>
        </w:rPr>
        <w:t xml:space="preserve">, erhalten lediglich </w:t>
      </w:r>
      <w:r w:rsidR="00162292">
        <w:rPr>
          <w:rFonts w:cs="Arial"/>
          <w:sz w:val="22"/>
        </w:rPr>
        <w:t xml:space="preserve">Dokumente wie </w:t>
      </w:r>
      <w:r w:rsidR="00983953">
        <w:rPr>
          <w:rFonts w:cs="Arial"/>
          <w:sz w:val="22"/>
        </w:rPr>
        <w:t xml:space="preserve">Auftragsbestätigungen und Rechnungen zukünftig </w:t>
      </w:r>
      <w:r w:rsidR="007B41D5">
        <w:rPr>
          <w:rFonts w:cs="Arial"/>
          <w:sz w:val="22"/>
        </w:rPr>
        <w:t xml:space="preserve">mit dem Absender </w:t>
      </w:r>
      <w:r w:rsidR="00983953">
        <w:rPr>
          <w:rFonts w:cs="Arial"/>
          <w:sz w:val="22"/>
        </w:rPr>
        <w:t>H+H Kalksandstein GmbH. Die Anpassung von z.</w:t>
      </w:r>
      <w:r w:rsidR="003E2652">
        <w:rPr>
          <w:rFonts w:cs="Arial"/>
          <w:sz w:val="22"/>
        </w:rPr>
        <w:t xml:space="preserve"> </w:t>
      </w:r>
      <w:r w:rsidR="00983953">
        <w:rPr>
          <w:rFonts w:cs="Arial"/>
          <w:sz w:val="22"/>
        </w:rPr>
        <w:t>B. Verpackungsfolien</w:t>
      </w:r>
      <w:r>
        <w:rPr>
          <w:rFonts w:cs="Arial"/>
          <w:sz w:val="22"/>
        </w:rPr>
        <w:t xml:space="preserve"> an das neue Corporate Design von H+H</w:t>
      </w:r>
      <w:r w:rsidR="00983953">
        <w:rPr>
          <w:rFonts w:cs="Arial"/>
          <w:sz w:val="22"/>
        </w:rPr>
        <w:t xml:space="preserve"> </w:t>
      </w:r>
      <w:r w:rsidR="00162292">
        <w:rPr>
          <w:rFonts w:cs="Arial"/>
          <w:sz w:val="22"/>
        </w:rPr>
        <w:t>ist im Gange</w:t>
      </w:r>
      <w:r w:rsidR="00983953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die </w:t>
      </w:r>
      <w:r w:rsidR="00BA795F">
        <w:rPr>
          <w:rFonts w:cs="Arial"/>
          <w:sz w:val="22"/>
        </w:rPr>
        <w:t xml:space="preserve">notwendigen </w:t>
      </w:r>
      <w:r>
        <w:rPr>
          <w:rFonts w:cs="Arial"/>
          <w:sz w:val="22"/>
        </w:rPr>
        <w:t>Änderung</w:t>
      </w:r>
      <w:r w:rsidR="00BA795F">
        <w:rPr>
          <w:rFonts w:cs="Arial"/>
          <w:sz w:val="22"/>
        </w:rPr>
        <w:t>en</w:t>
      </w:r>
      <w:r>
        <w:rPr>
          <w:rFonts w:cs="Arial"/>
          <w:sz w:val="22"/>
        </w:rPr>
        <w:t xml:space="preserve"> in gedruckten Unterlagen </w:t>
      </w:r>
      <w:r w:rsidR="005968A1">
        <w:rPr>
          <w:rFonts w:cs="Arial"/>
          <w:sz w:val="22"/>
        </w:rPr>
        <w:t>erfolg</w:t>
      </w:r>
      <w:r w:rsidR="00BA795F">
        <w:rPr>
          <w:rFonts w:cs="Arial"/>
          <w:sz w:val="22"/>
        </w:rPr>
        <w:t>en</w:t>
      </w:r>
      <w:r w:rsidR="005968A1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sukzessive. Unsere Website </w:t>
      </w:r>
      <w:hyperlink r:id="rId9" w:history="1">
        <w:r w:rsidRPr="003E2652">
          <w:rPr>
            <w:rStyle w:val="Hyperlink"/>
            <w:rFonts w:cs="Arial"/>
            <w:color w:val="auto"/>
            <w:sz w:val="22"/>
          </w:rPr>
          <w:t>www.hplush.de</w:t>
        </w:r>
      </w:hyperlink>
      <w:r>
        <w:rPr>
          <w:rFonts w:cs="Arial"/>
          <w:sz w:val="22"/>
        </w:rPr>
        <w:t xml:space="preserve"> wurde bereits umgestellt.“</w:t>
      </w:r>
    </w:p>
    <w:p w:rsidR="00275BD0" w:rsidRDefault="00275BD0" w:rsidP="00275BD0">
      <w:pPr>
        <w:widowControl/>
        <w:autoSpaceDE w:val="0"/>
        <w:autoSpaceDN w:val="0"/>
        <w:adjustRightInd w:val="0"/>
        <w:rPr>
          <w:rFonts w:cs="Arial"/>
          <w:sz w:val="22"/>
        </w:rPr>
      </w:pPr>
    </w:p>
    <w:p w:rsidR="00275BD0" w:rsidRPr="00275BD0" w:rsidRDefault="00275BD0" w:rsidP="00275BD0">
      <w:pPr>
        <w:widowControl/>
        <w:autoSpaceDE w:val="0"/>
        <w:autoSpaceDN w:val="0"/>
        <w:adjustRightInd w:val="0"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w:lastRenderedPageBreak/>
        <mc:AlternateContent>
          <mc:Choice Requires="wps">
            <w:drawing>
              <wp:inline distT="0" distB="0" distL="0" distR="0" wp14:anchorId="2759B2A3" wp14:editId="3726D495">
                <wp:extent cx="4135755" cy="2656840"/>
                <wp:effectExtent l="0" t="0" r="17145" b="1016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7EF" w:rsidRDefault="00AF07EF" w:rsidP="00AF07EF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ja-JP"/>
                              </w:rPr>
                              <w:t>H+H International A/S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ist ein an der dänischen Börse notiertes Unternehmen mit Hauptsitz in </w:t>
                            </w:r>
                            <w:hyperlink r:id="rId10" w:history="1">
                              <w:r w:rsidRPr="00182FDD">
                                <w:rPr>
                                  <w:rFonts w:cs="Arial"/>
                                  <w:szCs w:val="20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und einer der führenden Produzenten von Wandbaustoffen in Europa. Im Geschäftsjahr 2017 erwirtschaftete die Unternehmensgruppe einen Umsatz von rund 220 Mio. Euro allein mit Porenbeton.</w:t>
                            </w:r>
                            <w:r w:rsidRPr="00116725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Im Jahr 2018 wurden 15 Werke übernommen, in denen Kalksandsteine hergestel</w:t>
                            </w:r>
                            <w:r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lt werden. H+H betreibt damit 28</w:t>
                            </w:r>
                            <w:r w:rsidRPr="00116725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Werke in Deutschland, Großbritannien, Polen, Russland und der Schweiz. In diesen werden pro Jahr mehr als 4 Mio. Kubikmeter Wandbaustoffe produziert. In Dänemark, Schweden und den Beneluxländern existieren darüber hinaus Vertriebs-gesellschaften. Weltweit beschäftigt die Gruppe etwa 1.500 Mitarbeiterinnen und Mitarbeiter.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AF07EF" w:rsidRPr="00182FDD" w:rsidRDefault="00AF07EF" w:rsidP="00AF07EF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AF07EF" w:rsidRPr="00182FDD" w:rsidRDefault="00AF07EF" w:rsidP="00AF07EF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In Deutschland besitzt H+H zehn Werke zur Herstellung von Porenbeton und Kalksandstein, die einen jährlichen Gesamtumsatz von rund 100 Mio. Euro erwirtschaften. Die deutschen Tochtergesell-schaften beschäftigen etwa 4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2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0 Mitarbeiterinnen und Mitarbeiter.</w:t>
                            </w:r>
                          </w:p>
                          <w:p w:rsidR="00AF07EF" w:rsidRPr="0051717E" w:rsidRDefault="00AF07EF" w:rsidP="00AF07E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59B2A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2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">
                <v:textbox>
                  <w:txbxContent>
                    <w:p w:rsidR="00AF07EF" w:rsidRDefault="00AF07EF" w:rsidP="00AF07EF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b/>
                          <w:bCs/>
                          <w:szCs w:val="20"/>
                          <w:lang w:eastAsia="ja-JP"/>
                        </w:rPr>
                        <w:t>H+H International A/S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ist ein an der dänischen Börse notiertes Unternehmen mit Hauptsitz in </w:t>
                      </w:r>
                      <w:hyperlink r:id="rId11" w:history="1">
                        <w:r w:rsidRPr="00182FDD">
                          <w:rPr>
                            <w:rFonts w:cs="Arial"/>
                            <w:szCs w:val="20"/>
                            <w:lang w:eastAsia="ja-JP"/>
                          </w:rPr>
                          <w:t>Kopenhagen</w:t>
                        </w:r>
                      </w:hyperlink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und einer der führenden Produzenten von Wandbaustoffen in Europa. Im Geschäftsjahr 2017 erwirtschaftete die Unternehmensgruppe einen Umsatz von rund 220 Mio. Euro allein mit Porenbeton.</w:t>
                      </w:r>
                      <w:r w:rsidRPr="00116725">
                        <w:rPr>
                          <w:rFonts w:cs="Arial"/>
                          <w:szCs w:val="20"/>
                          <w:lang w:eastAsia="ja-JP"/>
                        </w:rPr>
                        <w:t xml:space="preserve"> Im Jahr 2018 wurden 15 Werke übernommen, in denen Kalksandsteine hergestel</w:t>
                      </w:r>
                      <w:r>
                        <w:rPr>
                          <w:rFonts w:cs="Arial"/>
                          <w:szCs w:val="20"/>
                          <w:lang w:eastAsia="ja-JP"/>
                        </w:rPr>
                        <w:t>lt werden. H+H betreibt damit 28</w:t>
                      </w:r>
                      <w:r w:rsidRPr="00116725">
                        <w:rPr>
                          <w:rFonts w:cs="Arial"/>
                          <w:szCs w:val="20"/>
                          <w:lang w:eastAsia="ja-JP"/>
                        </w:rPr>
                        <w:t xml:space="preserve"> Werke in Deutschland, Großbritannien, Polen, Russland und der Schweiz. In diesen werden pro Jahr mehr als 4 Mio. Kubikmeter Wandbaustoffe produziert. In Dänemark, Schweden und den Beneluxländern existieren darüber hinaus Vertriebs-gesellschaften. Weltweit beschäftigt die Gruppe etwa 1.500 Mitarbeiterinnen und Mitarbeiter.</w:t>
                      </w:r>
                      <w:r w:rsidRPr="00182FDD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AF07EF" w:rsidRPr="00182FDD" w:rsidRDefault="00AF07EF" w:rsidP="00AF07EF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AF07EF" w:rsidRPr="00182FDD" w:rsidRDefault="00AF07EF" w:rsidP="00AF07EF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szCs w:val="20"/>
                        </w:rPr>
                        <w:t>In Deutschland besitzt H+H zehn Werke zur Herstellung von Porenbeton und Kalksandstein, die einen jährlichen Gesamtumsatz von rund 100 Mio. Euro erwirtschaften. Die deutschen Tochtergesell-</w:t>
                      </w:r>
                      <w:proofErr w:type="spellStart"/>
                      <w:r w:rsidRPr="00182FDD">
                        <w:rPr>
                          <w:rFonts w:cs="Arial"/>
                          <w:szCs w:val="20"/>
                        </w:rPr>
                        <w:t>schaften</w:t>
                      </w:r>
                      <w:proofErr w:type="spellEnd"/>
                      <w:r w:rsidRPr="00182FDD">
                        <w:rPr>
                          <w:rFonts w:cs="Arial"/>
                          <w:szCs w:val="20"/>
                        </w:rPr>
                        <w:t xml:space="preserve"> beschäftigen etwa 4</w:t>
                      </w:r>
                      <w:r>
                        <w:rPr>
                          <w:rFonts w:cs="Arial"/>
                          <w:szCs w:val="20"/>
                        </w:rPr>
                        <w:t>2</w:t>
                      </w:r>
                      <w:r w:rsidRPr="00182FDD">
                        <w:rPr>
                          <w:rFonts w:cs="Arial"/>
                          <w:szCs w:val="20"/>
                        </w:rPr>
                        <w:t>0 Mitarbeiterinnen und Mitarbeiter.</w:t>
                      </w:r>
                    </w:p>
                    <w:p w:rsidR="00AF07EF" w:rsidRPr="0051717E" w:rsidRDefault="00AF07EF" w:rsidP="00AF07EF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AF07EF" w:rsidRDefault="00AF07EF">
      <w:pPr>
        <w:widowControl/>
        <w:rPr>
          <w:rFonts w:cs="Arial"/>
          <w:sz w:val="22"/>
        </w:rPr>
      </w:pPr>
    </w:p>
    <w:p w:rsidR="003E2652" w:rsidRDefault="003E2652">
      <w:pPr>
        <w:widowControl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AF07EF" w:rsidRDefault="00AF07EF" w:rsidP="003E2652">
      <w:pPr>
        <w:widowControl/>
        <w:spacing w:line="360" w:lineRule="auto"/>
        <w:rPr>
          <w:rFonts w:cs="Arial"/>
          <w:sz w:val="22"/>
        </w:rPr>
      </w:pPr>
      <w:r>
        <w:rPr>
          <w:rFonts w:cs="Arial"/>
          <w:noProof/>
          <w:sz w:val="22"/>
          <w:lang w:eastAsia="de-DE"/>
        </w:rPr>
        <w:lastRenderedPageBreak/>
        <w:drawing>
          <wp:inline distT="0" distB="0" distL="0" distR="0" wp14:anchorId="089AF92D" wp14:editId="3C55F31D">
            <wp:extent cx="2203601" cy="3143250"/>
            <wp:effectExtent l="0" t="0" r="6350" b="0"/>
            <wp:docPr id="6" name="Grafik 6" descr="D:\AAWORK\Kunden\H+H\Bilder\2019 Fahne\Fahne-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AAWORK\Kunden\H+H\Bilder\2019 Fahne\Fahne-1-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01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8EB" w:rsidRDefault="005428EB" w:rsidP="003E2652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Sukzessive hält in den kommenden Wochen </w:t>
      </w:r>
      <w:r w:rsidR="00BA795F">
        <w:rPr>
          <w:rFonts w:cs="Arial"/>
          <w:sz w:val="22"/>
        </w:rPr>
        <w:t>das neue Corporate Design</w:t>
      </w:r>
      <w:r>
        <w:rPr>
          <w:rFonts w:cs="Arial"/>
          <w:sz w:val="22"/>
        </w:rPr>
        <w:t xml:space="preserve"> Einzug bei den </w:t>
      </w:r>
      <w:r w:rsidR="00B22F21">
        <w:rPr>
          <w:rFonts w:cs="Arial"/>
          <w:sz w:val="22"/>
        </w:rPr>
        <w:t>aktuell</w:t>
      </w:r>
      <w:r>
        <w:rPr>
          <w:rFonts w:cs="Arial"/>
          <w:sz w:val="22"/>
        </w:rPr>
        <w:t xml:space="preserve"> sieben deutschen Werken der H+H Kalksandstein GmbH wie hier im W</w:t>
      </w:r>
      <w:r w:rsidR="001D335E">
        <w:rPr>
          <w:rFonts w:cs="Arial"/>
          <w:sz w:val="22"/>
        </w:rPr>
        <w:t>erk Durmersheim bei Baden-Baden</w:t>
      </w:r>
      <w:bookmarkStart w:id="0" w:name="_GoBack"/>
      <w:bookmarkEnd w:id="0"/>
    </w:p>
    <w:p w:rsidR="005428EB" w:rsidRDefault="005428EB" w:rsidP="003E2652">
      <w:pPr>
        <w:autoSpaceDE w:val="0"/>
        <w:autoSpaceDN w:val="0"/>
        <w:adjustRightInd w:val="0"/>
        <w:spacing w:line="360" w:lineRule="auto"/>
        <w:rPr>
          <w:rFonts w:cs="Arial"/>
          <w:i/>
          <w:sz w:val="18"/>
          <w:szCs w:val="18"/>
        </w:rPr>
      </w:pPr>
    </w:p>
    <w:p w:rsidR="00155922" w:rsidRPr="00CF216C" w:rsidRDefault="00155922" w:rsidP="005428EB">
      <w:pPr>
        <w:widowControl/>
        <w:autoSpaceDE w:val="0"/>
        <w:autoSpaceDN w:val="0"/>
        <w:adjustRightInd w:val="0"/>
        <w:spacing w:line="360" w:lineRule="auto"/>
        <w:rPr>
          <w:rFonts w:cs="Arial"/>
          <w:sz w:val="22"/>
        </w:rPr>
      </w:pPr>
      <w:r w:rsidRPr="006D1D8E">
        <w:rPr>
          <w:rFonts w:cs="Arial"/>
          <w:i/>
          <w:sz w:val="18"/>
          <w:szCs w:val="18"/>
        </w:rPr>
        <w:t>Foto: H+H Deutschland GmbH</w:t>
      </w:r>
    </w:p>
    <w:p w:rsidR="0028393C" w:rsidRDefault="0028393C" w:rsidP="0028393C">
      <w:pPr>
        <w:widowControl/>
        <w:rPr>
          <w:rFonts w:cs="Arial"/>
          <w:i/>
          <w:sz w:val="18"/>
          <w:szCs w:val="18"/>
        </w:rPr>
      </w:pPr>
    </w:p>
    <w:p w:rsidR="0028393C" w:rsidRPr="0072773D" w:rsidRDefault="0028393C" w:rsidP="0028393C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3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28393C" w:rsidRDefault="0028393C" w:rsidP="0028393C">
      <w:pPr>
        <w:rPr>
          <w:rFonts w:cs="Arial"/>
          <w:i/>
          <w:sz w:val="18"/>
          <w:szCs w:val="18"/>
          <w:lang w:eastAsia="ja-JP"/>
        </w:rPr>
      </w:pPr>
    </w:p>
    <w:p w:rsidR="0028393C" w:rsidRPr="00DC1544" w:rsidRDefault="0028393C" w:rsidP="0028393C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28393C" w:rsidP="00155922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4"/>
      <w:footerReference w:type="default" r:id="rId15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103" w:rsidRDefault="006B4103">
      <w:r>
        <w:separator/>
      </w:r>
    </w:p>
  </w:endnote>
  <w:endnote w:type="continuationSeparator" w:id="0">
    <w:p w:rsidR="006B4103" w:rsidRDefault="006B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335E">
      <w:rPr>
        <w:rStyle w:val="Seitenzahl"/>
        <w:noProof/>
      </w:rPr>
      <w:t>3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01389F0" wp14:editId="189F8D56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103" w:rsidRDefault="006B4103">
      <w:r>
        <w:separator/>
      </w:r>
    </w:p>
  </w:footnote>
  <w:footnote w:type="continuationSeparator" w:id="0">
    <w:p w:rsidR="006B4103" w:rsidRDefault="006B4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AF07EF" w:rsidP="00C762B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-2529840</wp:posOffset>
          </wp:positionH>
          <wp:positionV relativeFrom="paragraph">
            <wp:posOffset>-450215</wp:posOffset>
          </wp:positionV>
          <wp:extent cx="7574400" cy="2415600"/>
          <wp:effectExtent l="0" t="0" r="7620" b="3810"/>
          <wp:wrapNone/>
          <wp:docPr id="5" name="Grafik 5" descr="D:\AAWORK\Kunden\H+H\Texte\H+H_kopf_PI_deutschland_201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D:\AAWORK\Kunden\H+H\Texte\H+H_kopf_PI_deutschland_201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24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07EF" w:rsidRDefault="00AF07EF" w:rsidP="00C762B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16F0"/>
    <w:multiLevelType w:val="multilevel"/>
    <w:tmpl w:val="6D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49CF"/>
    <w:rsid w:val="000243B6"/>
    <w:rsid w:val="0002443B"/>
    <w:rsid w:val="00034174"/>
    <w:rsid w:val="00041C01"/>
    <w:rsid w:val="00061268"/>
    <w:rsid w:val="00072B57"/>
    <w:rsid w:val="00082045"/>
    <w:rsid w:val="000833BA"/>
    <w:rsid w:val="0008397A"/>
    <w:rsid w:val="000A5EFE"/>
    <w:rsid w:val="000B060D"/>
    <w:rsid w:val="000B7C70"/>
    <w:rsid w:val="000D054B"/>
    <w:rsid w:val="000D05C6"/>
    <w:rsid w:val="000D45E9"/>
    <w:rsid w:val="000F0224"/>
    <w:rsid w:val="000F70EE"/>
    <w:rsid w:val="001017F5"/>
    <w:rsid w:val="00101985"/>
    <w:rsid w:val="001053B8"/>
    <w:rsid w:val="00105E4D"/>
    <w:rsid w:val="00117E30"/>
    <w:rsid w:val="0012451A"/>
    <w:rsid w:val="0013065C"/>
    <w:rsid w:val="00151C36"/>
    <w:rsid w:val="00155722"/>
    <w:rsid w:val="00155922"/>
    <w:rsid w:val="00162292"/>
    <w:rsid w:val="001657E5"/>
    <w:rsid w:val="0019762F"/>
    <w:rsid w:val="001A51F4"/>
    <w:rsid w:val="001B2613"/>
    <w:rsid w:val="001B357E"/>
    <w:rsid w:val="001B38B9"/>
    <w:rsid w:val="001B5580"/>
    <w:rsid w:val="001B5DE1"/>
    <w:rsid w:val="001D03EF"/>
    <w:rsid w:val="001D335E"/>
    <w:rsid w:val="001D4AB8"/>
    <w:rsid w:val="001E14C1"/>
    <w:rsid w:val="001F0A30"/>
    <w:rsid w:val="001F19EA"/>
    <w:rsid w:val="001F6583"/>
    <w:rsid w:val="002076CC"/>
    <w:rsid w:val="002077E6"/>
    <w:rsid w:val="00212CFD"/>
    <w:rsid w:val="00221854"/>
    <w:rsid w:val="00230562"/>
    <w:rsid w:val="002311E0"/>
    <w:rsid w:val="00236B63"/>
    <w:rsid w:val="002378D5"/>
    <w:rsid w:val="00252EA9"/>
    <w:rsid w:val="00254C8C"/>
    <w:rsid w:val="002647D1"/>
    <w:rsid w:val="00267250"/>
    <w:rsid w:val="00272483"/>
    <w:rsid w:val="002724E4"/>
    <w:rsid w:val="00274485"/>
    <w:rsid w:val="002750AA"/>
    <w:rsid w:val="002757AA"/>
    <w:rsid w:val="00275838"/>
    <w:rsid w:val="00275BD0"/>
    <w:rsid w:val="0028393C"/>
    <w:rsid w:val="002A6D4E"/>
    <w:rsid w:val="002A7B42"/>
    <w:rsid w:val="002C171A"/>
    <w:rsid w:val="002C728E"/>
    <w:rsid w:val="002D1969"/>
    <w:rsid w:val="002D487D"/>
    <w:rsid w:val="002E2C15"/>
    <w:rsid w:val="00300482"/>
    <w:rsid w:val="00303C9E"/>
    <w:rsid w:val="00307160"/>
    <w:rsid w:val="00332553"/>
    <w:rsid w:val="00340049"/>
    <w:rsid w:val="0034031C"/>
    <w:rsid w:val="00340333"/>
    <w:rsid w:val="00351BE3"/>
    <w:rsid w:val="0035268D"/>
    <w:rsid w:val="003543F5"/>
    <w:rsid w:val="00365D13"/>
    <w:rsid w:val="003734D5"/>
    <w:rsid w:val="00377170"/>
    <w:rsid w:val="003855EA"/>
    <w:rsid w:val="003866D8"/>
    <w:rsid w:val="0039066F"/>
    <w:rsid w:val="0039344D"/>
    <w:rsid w:val="003B4076"/>
    <w:rsid w:val="003B5887"/>
    <w:rsid w:val="003C1EF8"/>
    <w:rsid w:val="003C7640"/>
    <w:rsid w:val="003C7EEB"/>
    <w:rsid w:val="003D3557"/>
    <w:rsid w:val="003E13B1"/>
    <w:rsid w:val="003E2652"/>
    <w:rsid w:val="003F0CD2"/>
    <w:rsid w:val="003F2C03"/>
    <w:rsid w:val="003F4C5B"/>
    <w:rsid w:val="00415B90"/>
    <w:rsid w:val="004204D3"/>
    <w:rsid w:val="00427A56"/>
    <w:rsid w:val="00431E6B"/>
    <w:rsid w:val="004331E7"/>
    <w:rsid w:val="00435DA5"/>
    <w:rsid w:val="004436BE"/>
    <w:rsid w:val="00445D90"/>
    <w:rsid w:val="00455F0B"/>
    <w:rsid w:val="00461D9A"/>
    <w:rsid w:val="00462D08"/>
    <w:rsid w:val="00471BA4"/>
    <w:rsid w:val="00471EDE"/>
    <w:rsid w:val="00472014"/>
    <w:rsid w:val="00473B0C"/>
    <w:rsid w:val="00481CA2"/>
    <w:rsid w:val="00494D64"/>
    <w:rsid w:val="0049506E"/>
    <w:rsid w:val="00497D96"/>
    <w:rsid w:val="004A0410"/>
    <w:rsid w:val="004B57FA"/>
    <w:rsid w:val="004B7F1A"/>
    <w:rsid w:val="004C234D"/>
    <w:rsid w:val="004D3C2F"/>
    <w:rsid w:val="004F24B4"/>
    <w:rsid w:val="004F50D6"/>
    <w:rsid w:val="004F64C4"/>
    <w:rsid w:val="00500651"/>
    <w:rsid w:val="00504428"/>
    <w:rsid w:val="00511279"/>
    <w:rsid w:val="00515AC0"/>
    <w:rsid w:val="005255F4"/>
    <w:rsid w:val="005428EB"/>
    <w:rsid w:val="00543A0C"/>
    <w:rsid w:val="00546337"/>
    <w:rsid w:val="005569DE"/>
    <w:rsid w:val="00561F6D"/>
    <w:rsid w:val="0056661F"/>
    <w:rsid w:val="00575CF3"/>
    <w:rsid w:val="0057774C"/>
    <w:rsid w:val="00577AF7"/>
    <w:rsid w:val="00587B97"/>
    <w:rsid w:val="00593FBF"/>
    <w:rsid w:val="005968A1"/>
    <w:rsid w:val="005A30DF"/>
    <w:rsid w:val="005A53FD"/>
    <w:rsid w:val="005A79AC"/>
    <w:rsid w:val="005B4C77"/>
    <w:rsid w:val="005C0189"/>
    <w:rsid w:val="005D28CE"/>
    <w:rsid w:val="005F044E"/>
    <w:rsid w:val="005F493A"/>
    <w:rsid w:val="005F49C3"/>
    <w:rsid w:val="005F4A82"/>
    <w:rsid w:val="005F7888"/>
    <w:rsid w:val="006028EE"/>
    <w:rsid w:val="006049C9"/>
    <w:rsid w:val="006141EF"/>
    <w:rsid w:val="00614223"/>
    <w:rsid w:val="00615869"/>
    <w:rsid w:val="006253F6"/>
    <w:rsid w:val="006375BA"/>
    <w:rsid w:val="00642054"/>
    <w:rsid w:val="0064276A"/>
    <w:rsid w:val="006451BC"/>
    <w:rsid w:val="0064535C"/>
    <w:rsid w:val="0065294A"/>
    <w:rsid w:val="006529A1"/>
    <w:rsid w:val="00652C86"/>
    <w:rsid w:val="00652E18"/>
    <w:rsid w:val="00665B3E"/>
    <w:rsid w:val="00666252"/>
    <w:rsid w:val="00666326"/>
    <w:rsid w:val="00673718"/>
    <w:rsid w:val="006A0D31"/>
    <w:rsid w:val="006A77BB"/>
    <w:rsid w:val="006B4103"/>
    <w:rsid w:val="006B54AE"/>
    <w:rsid w:val="006C221F"/>
    <w:rsid w:val="006C7735"/>
    <w:rsid w:val="006D171F"/>
    <w:rsid w:val="006D1D8E"/>
    <w:rsid w:val="006D4FFF"/>
    <w:rsid w:val="006D5EE7"/>
    <w:rsid w:val="006E2E68"/>
    <w:rsid w:val="006F3E01"/>
    <w:rsid w:val="0070270C"/>
    <w:rsid w:val="00703FC8"/>
    <w:rsid w:val="00705F3F"/>
    <w:rsid w:val="00707636"/>
    <w:rsid w:val="00711694"/>
    <w:rsid w:val="00717880"/>
    <w:rsid w:val="0072773D"/>
    <w:rsid w:val="007318B1"/>
    <w:rsid w:val="00732B82"/>
    <w:rsid w:val="00757155"/>
    <w:rsid w:val="00762B7A"/>
    <w:rsid w:val="0076505C"/>
    <w:rsid w:val="00765997"/>
    <w:rsid w:val="00765C90"/>
    <w:rsid w:val="00770255"/>
    <w:rsid w:val="00771BCA"/>
    <w:rsid w:val="00771E8B"/>
    <w:rsid w:val="00783DA7"/>
    <w:rsid w:val="00791587"/>
    <w:rsid w:val="0079619C"/>
    <w:rsid w:val="007A2A8C"/>
    <w:rsid w:val="007B0211"/>
    <w:rsid w:val="007B41D5"/>
    <w:rsid w:val="007B4B05"/>
    <w:rsid w:val="007B5072"/>
    <w:rsid w:val="007B66CF"/>
    <w:rsid w:val="007C17CC"/>
    <w:rsid w:val="007D0CAD"/>
    <w:rsid w:val="007E3669"/>
    <w:rsid w:val="007F329C"/>
    <w:rsid w:val="007F3E78"/>
    <w:rsid w:val="008056EF"/>
    <w:rsid w:val="0081462D"/>
    <w:rsid w:val="008248A1"/>
    <w:rsid w:val="00831C8F"/>
    <w:rsid w:val="0084520A"/>
    <w:rsid w:val="0086190A"/>
    <w:rsid w:val="0087436B"/>
    <w:rsid w:val="0087674E"/>
    <w:rsid w:val="0087763F"/>
    <w:rsid w:val="00890F37"/>
    <w:rsid w:val="008A02F0"/>
    <w:rsid w:val="008A075F"/>
    <w:rsid w:val="008A5277"/>
    <w:rsid w:val="008A7EE8"/>
    <w:rsid w:val="008B1347"/>
    <w:rsid w:val="008B3A67"/>
    <w:rsid w:val="008C072C"/>
    <w:rsid w:val="008C1F0D"/>
    <w:rsid w:val="008C7030"/>
    <w:rsid w:val="008E1C0E"/>
    <w:rsid w:val="008F4A49"/>
    <w:rsid w:val="008F54C4"/>
    <w:rsid w:val="00901847"/>
    <w:rsid w:val="00914892"/>
    <w:rsid w:val="009148D0"/>
    <w:rsid w:val="009178AB"/>
    <w:rsid w:val="009234D9"/>
    <w:rsid w:val="0093112C"/>
    <w:rsid w:val="00931A05"/>
    <w:rsid w:val="00933CA9"/>
    <w:rsid w:val="009357E9"/>
    <w:rsid w:val="00941DC9"/>
    <w:rsid w:val="0094536F"/>
    <w:rsid w:val="00947EC8"/>
    <w:rsid w:val="009521FF"/>
    <w:rsid w:val="009568C4"/>
    <w:rsid w:val="009615E4"/>
    <w:rsid w:val="00965767"/>
    <w:rsid w:val="00976CA1"/>
    <w:rsid w:val="00977E41"/>
    <w:rsid w:val="00977F25"/>
    <w:rsid w:val="00982243"/>
    <w:rsid w:val="00983452"/>
    <w:rsid w:val="00983953"/>
    <w:rsid w:val="00984D5E"/>
    <w:rsid w:val="009856BE"/>
    <w:rsid w:val="00996EE0"/>
    <w:rsid w:val="00997CB9"/>
    <w:rsid w:val="009A674F"/>
    <w:rsid w:val="009C0968"/>
    <w:rsid w:val="009C557A"/>
    <w:rsid w:val="009E2DB6"/>
    <w:rsid w:val="009E2DDF"/>
    <w:rsid w:val="009E3818"/>
    <w:rsid w:val="009E671C"/>
    <w:rsid w:val="00A11423"/>
    <w:rsid w:val="00A11EE5"/>
    <w:rsid w:val="00A16F4A"/>
    <w:rsid w:val="00A4203E"/>
    <w:rsid w:val="00A47090"/>
    <w:rsid w:val="00A518BA"/>
    <w:rsid w:val="00A568A8"/>
    <w:rsid w:val="00A57C7E"/>
    <w:rsid w:val="00A77BEA"/>
    <w:rsid w:val="00A9423F"/>
    <w:rsid w:val="00A95B5F"/>
    <w:rsid w:val="00A96F01"/>
    <w:rsid w:val="00A976C0"/>
    <w:rsid w:val="00AB0D10"/>
    <w:rsid w:val="00AC2A5A"/>
    <w:rsid w:val="00AC3566"/>
    <w:rsid w:val="00AC59EF"/>
    <w:rsid w:val="00AD3B21"/>
    <w:rsid w:val="00AD7FCD"/>
    <w:rsid w:val="00AE0B8D"/>
    <w:rsid w:val="00AE2E37"/>
    <w:rsid w:val="00AE4361"/>
    <w:rsid w:val="00AF07EF"/>
    <w:rsid w:val="00AF58D9"/>
    <w:rsid w:val="00B1233B"/>
    <w:rsid w:val="00B13430"/>
    <w:rsid w:val="00B14AD0"/>
    <w:rsid w:val="00B21B9A"/>
    <w:rsid w:val="00B21C14"/>
    <w:rsid w:val="00B22F21"/>
    <w:rsid w:val="00B3015B"/>
    <w:rsid w:val="00B4254C"/>
    <w:rsid w:val="00B44A10"/>
    <w:rsid w:val="00B737B0"/>
    <w:rsid w:val="00B75D68"/>
    <w:rsid w:val="00B76522"/>
    <w:rsid w:val="00B82F9C"/>
    <w:rsid w:val="00B95070"/>
    <w:rsid w:val="00BA46B0"/>
    <w:rsid w:val="00BA795F"/>
    <w:rsid w:val="00BB19D6"/>
    <w:rsid w:val="00BC5A92"/>
    <w:rsid w:val="00BD451D"/>
    <w:rsid w:val="00BD5B08"/>
    <w:rsid w:val="00BD726E"/>
    <w:rsid w:val="00BE4F21"/>
    <w:rsid w:val="00BF16B5"/>
    <w:rsid w:val="00BF373B"/>
    <w:rsid w:val="00C02326"/>
    <w:rsid w:val="00C06344"/>
    <w:rsid w:val="00C1579E"/>
    <w:rsid w:val="00C24E06"/>
    <w:rsid w:val="00C26F26"/>
    <w:rsid w:val="00C32B58"/>
    <w:rsid w:val="00C35FFF"/>
    <w:rsid w:val="00C370BD"/>
    <w:rsid w:val="00C4148F"/>
    <w:rsid w:val="00C433A6"/>
    <w:rsid w:val="00C445AA"/>
    <w:rsid w:val="00C44F6D"/>
    <w:rsid w:val="00C461D5"/>
    <w:rsid w:val="00C5018B"/>
    <w:rsid w:val="00C51F2D"/>
    <w:rsid w:val="00C64EF2"/>
    <w:rsid w:val="00C762B3"/>
    <w:rsid w:val="00C8400B"/>
    <w:rsid w:val="00C86908"/>
    <w:rsid w:val="00C87BAE"/>
    <w:rsid w:val="00C95AF0"/>
    <w:rsid w:val="00CA3C91"/>
    <w:rsid w:val="00CB4249"/>
    <w:rsid w:val="00CD49A8"/>
    <w:rsid w:val="00CE5BDB"/>
    <w:rsid w:val="00CF216C"/>
    <w:rsid w:val="00CF7647"/>
    <w:rsid w:val="00D04A1C"/>
    <w:rsid w:val="00D04C45"/>
    <w:rsid w:val="00D066FC"/>
    <w:rsid w:val="00D116F9"/>
    <w:rsid w:val="00D27A72"/>
    <w:rsid w:val="00D30DCF"/>
    <w:rsid w:val="00D3245B"/>
    <w:rsid w:val="00D363DF"/>
    <w:rsid w:val="00D4289C"/>
    <w:rsid w:val="00D43576"/>
    <w:rsid w:val="00D6373D"/>
    <w:rsid w:val="00D7708D"/>
    <w:rsid w:val="00D7779D"/>
    <w:rsid w:val="00D82849"/>
    <w:rsid w:val="00DA0E25"/>
    <w:rsid w:val="00DB1849"/>
    <w:rsid w:val="00DC1544"/>
    <w:rsid w:val="00DC3FC7"/>
    <w:rsid w:val="00DC6E94"/>
    <w:rsid w:val="00DE2892"/>
    <w:rsid w:val="00DF0CEE"/>
    <w:rsid w:val="00E137D3"/>
    <w:rsid w:val="00E270D2"/>
    <w:rsid w:val="00E320BC"/>
    <w:rsid w:val="00E34188"/>
    <w:rsid w:val="00E36E05"/>
    <w:rsid w:val="00E50F4B"/>
    <w:rsid w:val="00E547FC"/>
    <w:rsid w:val="00E552C2"/>
    <w:rsid w:val="00E62CE0"/>
    <w:rsid w:val="00E84A03"/>
    <w:rsid w:val="00E9465F"/>
    <w:rsid w:val="00EA079D"/>
    <w:rsid w:val="00ED5BDD"/>
    <w:rsid w:val="00EE31C5"/>
    <w:rsid w:val="00EE451D"/>
    <w:rsid w:val="00F00627"/>
    <w:rsid w:val="00F009BC"/>
    <w:rsid w:val="00F074B3"/>
    <w:rsid w:val="00F1403A"/>
    <w:rsid w:val="00F25235"/>
    <w:rsid w:val="00F36622"/>
    <w:rsid w:val="00F446D6"/>
    <w:rsid w:val="00F465E9"/>
    <w:rsid w:val="00F47B1C"/>
    <w:rsid w:val="00F55361"/>
    <w:rsid w:val="00F717EB"/>
    <w:rsid w:val="00F7456E"/>
    <w:rsid w:val="00F82B2A"/>
    <w:rsid w:val="00F87C6A"/>
    <w:rsid w:val="00F92034"/>
    <w:rsid w:val="00F9210F"/>
    <w:rsid w:val="00F95B98"/>
    <w:rsid w:val="00FA695E"/>
    <w:rsid w:val="00FC1F17"/>
    <w:rsid w:val="00FD6223"/>
    <w:rsid w:val="00FD7A3B"/>
    <w:rsid w:val="00FE381A"/>
    <w:rsid w:val="00FF04E6"/>
    <w:rsid w:val="00FF0EB7"/>
    <w:rsid w:val="00FF3B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8E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28E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65B3E"/>
    <w:rPr>
      <w:rFonts w:ascii="Arial" w:hAnsi="Arial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428E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428E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65B3E"/>
    <w:rPr>
      <w:rFonts w:ascii="Arial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saelzer-pressedienst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Kopenhag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Kopenha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plush.d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4DFC-1389-41E4-87D5-4A2D839C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2</cp:revision>
  <cp:lastPrinted>2019-01-29T11:57:00Z</cp:lastPrinted>
  <dcterms:created xsi:type="dcterms:W3CDTF">2019-01-29T11:57:00Z</dcterms:created>
  <dcterms:modified xsi:type="dcterms:W3CDTF">2019-01-29T11:57:00Z</dcterms:modified>
</cp:coreProperties>
</file>